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62" w:rsidRPr="002571E5" w:rsidRDefault="008876D8" w:rsidP="00080A6F">
      <w:pPr>
        <w:spacing w:line="240" w:lineRule="auto"/>
        <w:rPr>
          <w:rFonts w:ascii="Times New Roman" w:hAnsi="Times New Roman"/>
          <w:b/>
          <w:sz w:val="24"/>
          <w:szCs w:val="24"/>
        </w:rPr>
      </w:pPr>
      <w:bookmarkStart w:id="0" w:name="_GoBack"/>
      <w:r w:rsidRPr="002571E5">
        <w:rPr>
          <w:rFonts w:ascii="Times New Roman" w:hAnsi="Times New Roman"/>
          <w:b/>
          <w:sz w:val="24"/>
          <w:szCs w:val="24"/>
        </w:rPr>
        <w:t>Entre a R</w:t>
      </w:r>
      <w:r w:rsidR="00430662" w:rsidRPr="002571E5">
        <w:rPr>
          <w:rFonts w:ascii="Times New Roman" w:hAnsi="Times New Roman"/>
          <w:b/>
          <w:sz w:val="24"/>
          <w:szCs w:val="24"/>
        </w:rPr>
        <w:t>eligiã</w:t>
      </w:r>
      <w:r w:rsidRPr="002571E5">
        <w:rPr>
          <w:rFonts w:ascii="Times New Roman" w:hAnsi="Times New Roman"/>
          <w:b/>
          <w:sz w:val="24"/>
          <w:szCs w:val="24"/>
        </w:rPr>
        <w:t>o e a História – a Bíblia como D</w:t>
      </w:r>
      <w:r w:rsidR="00430662" w:rsidRPr="002571E5">
        <w:rPr>
          <w:rFonts w:ascii="Times New Roman" w:hAnsi="Times New Roman"/>
          <w:b/>
          <w:sz w:val="24"/>
          <w:szCs w:val="24"/>
        </w:rPr>
        <w:t>ocumento</w:t>
      </w:r>
    </w:p>
    <w:bookmarkEnd w:id="0"/>
    <w:p w:rsidR="008E43F0" w:rsidRPr="002571E5" w:rsidRDefault="008E43F0" w:rsidP="00080A6F">
      <w:pPr>
        <w:spacing w:line="240" w:lineRule="auto"/>
        <w:rPr>
          <w:rFonts w:ascii="Times New Roman" w:hAnsi="Times New Roman"/>
          <w:b/>
          <w:sz w:val="24"/>
          <w:szCs w:val="24"/>
        </w:rPr>
      </w:pPr>
    </w:p>
    <w:p w:rsidR="008E43F0" w:rsidRPr="00C251B9" w:rsidRDefault="00D96BAA" w:rsidP="00C82CB7">
      <w:pPr>
        <w:spacing w:line="240" w:lineRule="auto"/>
        <w:jc w:val="both"/>
        <w:rPr>
          <w:rFonts w:ascii="Times New Roman" w:hAnsi="Times New Roman"/>
          <w:sz w:val="24"/>
          <w:szCs w:val="24"/>
        </w:rPr>
      </w:pPr>
      <w:r>
        <w:rPr>
          <w:rFonts w:ascii="Times New Roman" w:hAnsi="Times New Roman"/>
          <w:sz w:val="24"/>
          <w:szCs w:val="24"/>
        </w:rPr>
        <w:tab/>
        <w:t xml:space="preserve">O presente trabalho faz parte </w:t>
      </w:r>
      <w:r w:rsidR="003A59EB">
        <w:rPr>
          <w:rFonts w:ascii="Times New Roman" w:hAnsi="Times New Roman"/>
          <w:sz w:val="24"/>
          <w:szCs w:val="24"/>
        </w:rPr>
        <w:t>da pesquisa que estamos desenvolvendo em nossa dissertação</w:t>
      </w:r>
      <w:r>
        <w:rPr>
          <w:rFonts w:ascii="Times New Roman" w:hAnsi="Times New Roman"/>
          <w:sz w:val="24"/>
          <w:szCs w:val="24"/>
        </w:rPr>
        <w:t xml:space="preserve">, </w:t>
      </w:r>
      <w:r w:rsidR="00DE76BB">
        <w:rPr>
          <w:rFonts w:ascii="Times New Roman" w:hAnsi="Times New Roman"/>
          <w:sz w:val="24"/>
          <w:szCs w:val="24"/>
        </w:rPr>
        <w:t>onde, através de análise de discurso</w:t>
      </w:r>
      <w:r>
        <w:rPr>
          <w:rFonts w:ascii="Times New Roman" w:hAnsi="Times New Roman"/>
          <w:sz w:val="24"/>
          <w:szCs w:val="24"/>
        </w:rPr>
        <w:t xml:space="preserve"> e met</w:t>
      </w:r>
      <w:r w:rsidR="00C251B9">
        <w:rPr>
          <w:rFonts w:ascii="Times New Roman" w:hAnsi="Times New Roman"/>
          <w:sz w:val="24"/>
          <w:szCs w:val="24"/>
        </w:rPr>
        <w:t>odologia comparativa</w:t>
      </w:r>
      <w:r w:rsidR="003A59EB">
        <w:rPr>
          <w:rFonts w:ascii="Times New Roman" w:hAnsi="Times New Roman"/>
          <w:sz w:val="24"/>
          <w:szCs w:val="24"/>
        </w:rPr>
        <w:t xml:space="preserve"> – em especial da História das Transferências –</w:t>
      </w:r>
      <w:r>
        <w:rPr>
          <w:rFonts w:ascii="Times New Roman" w:hAnsi="Times New Roman"/>
          <w:sz w:val="24"/>
          <w:szCs w:val="24"/>
        </w:rPr>
        <w:t xml:space="preserve">, analisamos o papel do corpo na religiosidade </w:t>
      </w:r>
      <w:r w:rsidR="003A59EB">
        <w:rPr>
          <w:rFonts w:ascii="Times New Roman" w:hAnsi="Times New Roman"/>
          <w:sz w:val="24"/>
          <w:szCs w:val="24"/>
        </w:rPr>
        <w:t>de fariseus e cristãos na P</w:t>
      </w:r>
      <w:r>
        <w:rPr>
          <w:rFonts w:ascii="Times New Roman" w:hAnsi="Times New Roman"/>
          <w:sz w:val="24"/>
          <w:szCs w:val="24"/>
        </w:rPr>
        <w:t>alestina do I século da Era Cristã, utilizando-nos, para isso, de textos sagrados de judeus e cristãos. No recorte que escolhemos para esta apresentação, discutiremos algumas carac</w:t>
      </w:r>
      <w:r w:rsidR="00DE76BB">
        <w:rPr>
          <w:rFonts w:ascii="Times New Roman" w:hAnsi="Times New Roman"/>
          <w:sz w:val="24"/>
          <w:szCs w:val="24"/>
        </w:rPr>
        <w:t xml:space="preserve">terísticas de tais textos, como, por exemplo, se a Bíblia poderia ser considerada um documento passível de ser </w:t>
      </w:r>
      <w:proofErr w:type="gramStart"/>
      <w:r w:rsidR="00DE76BB">
        <w:rPr>
          <w:rFonts w:ascii="Times New Roman" w:hAnsi="Times New Roman"/>
          <w:sz w:val="24"/>
          <w:szCs w:val="24"/>
        </w:rPr>
        <w:t>trabalhado</w:t>
      </w:r>
      <w:proofErr w:type="gramEnd"/>
      <w:r w:rsidR="00DE76BB">
        <w:rPr>
          <w:rFonts w:ascii="Times New Roman" w:hAnsi="Times New Roman"/>
          <w:sz w:val="24"/>
          <w:szCs w:val="24"/>
        </w:rPr>
        <w:t xml:space="preserve"> sob um viés histórico, como se deu a passagem da cultura oral para a escrita e quais os reflexos dessa passagem para a transmissão textual, as alterações de materiais utilizados, além da característica exegese judaica e seu método de análise, interpretação e construção d</w:t>
      </w:r>
      <w:r w:rsidR="00DE76BB" w:rsidRPr="00C251B9">
        <w:rPr>
          <w:rFonts w:ascii="Times New Roman" w:hAnsi="Times New Roman"/>
          <w:sz w:val="24"/>
          <w:szCs w:val="24"/>
        </w:rPr>
        <w:t>a documentação.</w:t>
      </w:r>
      <w:r w:rsidR="001A0C3B">
        <w:rPr>
          <w:rFonts w:ascii="Times New Roman" w:hAnsi="Times New Roman"/>
          <w:sz w:val="24"/>
          <w:szCs w:val="24"/>
        </w:rPr>
        <w:t xml:space="preserve"> </w:t>
      </w:r>
      <w:r w:rsidR="00C251B9" w:rsidRPr="00C251B9">
        <w:rPr>
          <w:rFonts w:ascii="Times New Roman" w:hAnsi="Times New Roman"/>
          <w:sz w:val="24"/>
          <w:szCs w:val="24"/>
        </w:rPr>
        <w:t xml:space="preserve">Para </w:t>
      </w:r>
      <w:r w:rsidR="00C251B9">
        <w:rPr>
          <w:rFonts w:ascii="Times New Roman" w:hAnsi="Times New Roman"/>
          <w:sz w:val="24"/>
          <w:szCs w:val="24"/>
        </w:rPr>
        <w:t>exemplificar o desenvolvimento e a aplicabilidade dessa exegese, analisamos brevemente a Jerusalém do I século e as relações de cristãos e judeus com seu texto</w:t>
      </w:r>
      <w:r w:rsidR="00C251B9" w:rsidRPr="00C251B9">
        <w:rPr>
          <w:rFonts w:ascii="Times New Roman" w:hAnsi="Times New Roman"/>
          <w:sz w:val="24"/>
          <w:szCs w:val="24"/>
        </w:rPr>
        <w:t xml:space="preserve"> sagrado. </w:t>
      </w:r>
      <w:proofErr w:type="gramStart"/>
      <w:r w:rsidR="001A0C3B">
        <w:rPr>
          <w:rFonts w:ascii="Times New Roman" w:hAnsi="Times New Roman"/>
          <w:sz w:val="24"/>
          <w:szCs w:val="24"/>
        </w:rPr>
        <w:t>Pretendemos, com isso, suscitar debates e reflexões sobre as diversas metodologias desenvolvidas nos últimos anos para o estudo acadêmico dos textos bíblicos, levando-se em consideração que a maior parte del</w:t>
      </w:r>
      <w:r w:rsidR="00DB3002">
        <w:rPr>
          <w:rFonts w:ascii="Times New Roman" w:hAnsi="Times New Roman"/>
          <w:sz w:val="24"/>
          <w:szCs w:val="24"/>
        </w:rPr>
        <w:t>e</w:t>
      </w:r>
      <w:r w:rsidR="001A0C3B">
        <w:rPr>
          <w:rFonts w:ascii="Times New Roman" w:hAnsi="Times New Roman"/>
          <w:sz w:val="24"/>
          <w:szCs w:val="24"/>
        </w:rPr>
        <w:t xml:space="preserve">s utiliza-se de uma exegese cristã católica para os estudos de </w:t>
      </w:r>
      <w:r w:rsidR="00DB3002">
        <w:rPr>
          <w:rFonts w:ascii="Times New Roman" w:hAnsi="Times New Roman"/>
          <w:sz w:val="24"/>
          <w:szCs w:val="24"/>
        </w:rPr>
        <w:t>Primeiro e Segundo</w:t>
      </w:r>
      <w:r w:rsidR="001A0C3B">
        <w:rPr>
          <w:rFonts w:ascii="Times New Roman" w:hAnsi="Times New Roman"/>
          <w:sz w:val="24"/>
          <w:szCs w:val="24"/>
        </w:rPr>
        <w:t xml:space="preserve"> Testamento</w:t>
      </w:r>
      <w:r w:rsidR="00DB3002">
        <w:rPr>
          <w:rFonts w:ascii="Times New Roman" w:hAnsi="Times New Roman"/>
          <w:sz w:val="24"/>
          <w:szCs w:val="24"/>
        </w:rPr>
        <w:t xml:space="preserve"> (popularmente conhecidos como Antigo e Novo Testamentos)</w:t>
      </w:r>
      <w:r w:rsidR="001A0C3B">
        <w:rPr>
          <w:rFonts w:ascii="Times New Roman" w:hAnsi="Times New Roman"/>
          <w:sz w:val="24"/>
          <w:szCs w:val="24"/>
        </w:rPr>
        <w:t>.</w:t>
      </w:r>
      <w:proofErr w:type="gramEnd"/>
      <w:r w:rsidR="001A0C3B">
        <w:rPr>
          <w:rFonts w:ascii="Times New Roman" w:hAnsi="Times New Roman"/>
          <w:sz w:val="24"/>
          <w:szCs w:val="24"/>
        </w:rPr>
        <w:t xml:space="preserve"> </w:t>
      </w:r>
      <w:r w:rsidR="00DB3002">
        <w:rPr>
          <w:rFonts w:ascii="Times New Roman" w:hAnsi="Times New Roman"/>
          <w:sz w:val="24"/>
          <w:szCs w:val="24"/>
        </w:rPr>
        <w:t xml:space="preserve">Acreditamos criar, com isso, um diferencial ao adotarmos a hermenêutica judaica para a análise do Primeiro Testamento, por entendermos que este foi desenvolvido respeitando certas particularidades próprias da literatura judaica, e deve ser compreendido relacionando-se tais textos com as características próprias </w:t>
      </w:r>
      <w:r w:rsidR="00976864">
        <w:rPr>
          <w:rFonts w:ascii="Times New Roman" w:hAnsi="Times New Roman"/>
          <w:sz w:val="24"/>
          <w:szCs w:val="24"/>
        </w:rPr>
        <w:t xml:space="preserve">dessa cultura – inclusive com uma atenção especial à questão da cognição própria às culturas de transmissão </w:t>
      </w:r>
      <w:proofErr w:type="gramStart"/>
      <w:r w:rsidR="00976864">
        <w:rPr>
          <w:rFonts w:ascii="Times New Roman" w:hAnsi="Times New Roman"/>
          <w:sz w:val="24"/>
          <w:szCs w:val="24"/>
        </w:rPr>
        <w:t>oral</w:t>
      </w:r>
      <w:proofErr w:type="gramEnd"/>
      <w:r w:rsidR="00DB3002">
        <w:rPr>
          <w:rFonts w:ascii="Times New Roman" w:hAnsi="Times New Roman"/>
          <w:sz w:val="24"/>
          <w:szCs w:val="24"/>
        </w:rPr>
        <w:t>.</w:t>
      </w:r>
    </w:p>
    <w:p w:rsidR="008E43F0" w:rsidRPr="00C82CB7" w:rsidRDefault="00C251B9" w:rsidP="00C82CB7">
      <w:pPr>
        <w:spacing w:line="240" w:lineRule="auto"/>
        <w:jc w:val="both"/>
        <w:rPr>
          <w:rFonts w:ascii="Times New Roman" w:hAnsi="Times New Roman"/>
          <w:b/>
          <w:sz w:val="24"/>
          <w:szCs w:val="24"/>
        </w:rPr>
      </w:pPr>
      <w:r w:rsidRPr="00C251B9">
        <w:rPr>
          <w:rFonts w:ascii="Times New Roman" w:hAnsi="Times New Roman"/>
          <w:sz w:val="24"/>
          <w:szCs w:val="24"/>
        </w:rPr>
        <w:tab/>
        <w:t>No qu</w:t>
      </w:r>
      <w:r w:rsidR="007C6F30">
        <w:rPr>
          <w:rFonts w:ascii="Times New Roman" w:hAnsi="Times New Roman"/>
          <w:sz w:val="24"/>
          <w:szCs w:val="24"/>
        </w:rPr>
        <w:t>adro teórico</w:t>
      </w:r>
      <w:r w:rsidR="00C82CB7">
        <w:rPr>
          <w:rFonts w:ascii="Times New Roman" w:hAnsi="Times New Roman"/>
          <w:sz w:val="24"/>
          <w:szCs w:val="24"/>
        </w:rPr>
        <w:t xml:space="preserve"> deste recorte</w:t>
      </w:r>
      <w:r w:rsidR="007C6F30">
        <w:rPr>
          <w:rFonts w:ascii="Times New Roman" w:hAnsi="Times New Roman"/>
          <w:sz w:val="24"/>
          <w:szCs w:val="24"/>
        </w:rPr>
        <w:t xml:space="preserve"> utilizamo-nos dos conceitos de</w:t>
      </w:r>
      <w:r w:rsidR="00C82CB7">
        <w:rPr>
          <w:rFonts w:ascii="Times New Roman" w:hAnsi="Times New Roman"/>
          <w:sz w:val="24"/>
          <w:szCs w:val="24"/>
        </w:rPr>
        <w:t>senvolvidos por</w:t>
      </w:r>
      <w:r w:rsidR="007C6F30">
        <w:rPr>
          <w:rFonts w:ascii="Times New Roman" w:hAnsi="Times New Roman"/>
          <w:sz w:val="24"/>
          <w:szCs w:val="24"/>
        </w:rPr>
        <w:t xml:space="preserve"> Alfonso Di </w:t>
      </w:r>
      <w:proofErr w:type="spellStart"/>
      <w:r w:rsidR="007C6F30">
        <w:rPr>
          <w:rFonts w:ascii="Times New Roman" w:hAnsi="Times New Roman"/>
          <w:sz w:val="24"/>
          <w:szCs w:val="24"/>
        </w:rPr>
        <w:t>Nola</w:t>
      </w:r>
      <w:proofErr w:type="spellEnd"/>
      <w:r w:rsidR="007C6F30">
        <w:rPr>
          <w:rFonts w:ascii="Times New Roman" w:hAnsi="Times New Roman"/>
          <w:sz w:val="24"/>
          <w:szCs w:val="24"/>
        </w:rPr>
        <w:t xml:space="preserve"> com relação a livros sacros, e recorremos aos estudos </w:t>
      </w:r>
      <w:r w:rsidR="00C82CB7">
        <w:rPr>
          <w:rFonts w:ascii="Times New Roman" w:hAnsi="Times New Roman"/>
          <w:sz w:val="24"/>
          <w:szCs w:val="24"/>
        </w:rPr>
        <w:t>efetuados por</w:t>
      </w:r>
      <w:r w:rsidR="007C6F30">
        <w:rPr>
          <w:rFonts w:ascii="Times New Roman" w:hAnsi="Times New Roman"/>
          <w:sz w:val="24"/>
          <w:szCs w:val="24"/>
        </w:rPr>
        <w:t xml:space="preserve"> Julio </w:t>
      </w:r>
      <w:proofErr w:type="spellStart"/>
      <w:r w:rsidR="007C6F30">
        <w:rPr>
          <w:rFonts w:ascii="Times New Roman" w:hAnsi="Times New Roman"/>
          <w:sz w:val="24"/>
          <w:szCs w:val="24"/>
        </w:rPr>
        <w:t>Trebolle</w:t>
      </w:r>
      <w:proofErr w:type="spellEnd"/>
      <w:r w:rsidR="007C6F30">
        <w:rPr>
          <w:rFonts w:ascii="Times New Roman" w:hAnsi="Times New Roman"/>
          <w:sz w:val="24"/>
          <w:szCs w:val="24"/>
        </w:rPr>
        <w:t xml:space="preserve"> </w:t>
      </w:r>
      <w:proofErr w:type="spellStart"/>
      <w:r w:rsidR="007C6F30">
        <w:rPr>
          <w:rFonts w:ascii="Times New Roman" w:hAnsi="Times New Roman"/>
          <w:sz w:val="24"/>
          <w:szCs w:val="24"/>
        </w:rPr>
        <w:t>Barrera</w:t>
      </w:r>
      <w:proofErr w:type="spellEnd"/>
      <w:r w:rsidR="007C6F30">
        <w:rPr>
          <w:rFonts w:ascii="Times New Roman" w:hAnsi="Times New Roman"/>
          <w:sz w:val="24"/>
          <w:szCs w:val="24"/>
        </w:rPr>
        <w:t xml:space="preserve"> acerca da História das Bíblias judaica e cristã. Como nossa pesquisa encontra-se num estágio inicial, as conclusões a que chegamos</w:t>
      </w:r>
      <w:r w:rsidR="003A59EB">
        <w:rPr>
          <w:rFonts w:ascii="Times New Roman" w:hAnsi="Times New Roman"/>
          <w:sz w:val="24"/>
          <w:szCs w:val="24"/>
        </w:rPr>
        <w:t xml:space="preserve"> limitam-se à demonstração da viabilidade de tal viés analítico, além de considerações acerca do desenvolvimento do texto sagrado judaico e uma breve reflexão sobre a situação político-social de Jerusalém, informações imprescindíveis para estabelecer a relação existente entre judeus e cristãos com sua religiosidade, expressa, dentre outras formas, na interpretação que cada grupo fazia do mesmo texto.</w:t>
      </w:r>
    </w:p>
    <w:p w:rsidR="008E43F0" w:rsidRPr="002571E5" w:rsidRDefault="00C82CB7" w:rsidP="00080A6F">
      <w:pPr>
        <w:spacing w:line="240" w:lineRule="auto"/>
        <w:rPr>
          <w:rFonts w:ascii="Times New Roman" w:hAnsi="Times New Roman"/>
          <w:b/>
          <w:sz w:val="24"/>
          <w:szCs w:val="24"/>
        </w:rPr>
      </w:pPr>
      <w:r>
        <w:rPr>
          <w:rFonts w:ascii="Times New Roman" w:hAnsi="Times New Roman"/>
          <w:b/>
          <w:sz w:val="24"/>
          <w:szCs w:val="24"/>
        </w:rPr>
        <w:tab/>
      </w:r>
    </w:p>
    <w:p w:rsidR="008E43F0" w:rsidRPr="00C82CB7" w:rsidRDefault="00C82CB7" w:rsidP="00080A6F">
      <w:pPr>
        <w:spacing w:line="240" w:lineRule="auto"/>
        <w:rPr>
          <w:rFonts w:ascii="Times New Roman" w:hAnsi="Times New Roman"/>
          <w:sz w:val="24"/>
          <w:szCs w:val="24"/>
        </w:rPr>
      </w:pPr>
      <w:r>
        <w:rPr>
          <w:rFonts w:ascii="Times New Roman" w:hAnsi="Times New Roman"/>
          <w:b/>
          <w:sz w:val="24"/>
          <w:szCs w:val="24"/>
        </w:rPr>
        <w:t xml:space="preserve">Palavras-chave: </w:t>
      </w:r>
      <w:r>
        <w:rPr>
          <w:rFonts w:ascii="Times New Roman" w:hAnsi="Times New Roman"/>
          <w:sz w:val="24"/>
          <w:szCs w:val="24"/>
        </w:rPr>
        <w:t>Judaísmo, Cristianismo, Bíblia, Livro Sagrado</w:t>
      </w: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2571E5" w:rsidRDefault="008E43F0" w:rsidP="00080A6F">
      <w:pPr>
        <w:spacing w:line="240" w:lineRule="auto"/>
        <w:rPr>
          <w:rFonts w:ascii="Times New Roman" w:hAnsi="Times New Roman"/>
          <w:b/>
          <w:sz w:val="24"/>
          <w:szCs w:val="24"/>
        </w:rPr>
      </w:pPr>
    </w:p>
    <w:p w:rsidR="008E43F0" w:rsidRPr="00DE76BB" w:rsidRDefault="00DE76BB" w:rsidP="00080A6F">
      <w:pPr>
        <w:pStyle w:val="PargrafodaLista"/>
        <w:numPr>
          <w:ilvl w:val="0"/>
          <w:numId w:val="2"/>
        </w:numPr>
        <w:spacing w:line="240" w:lineRule="auto"/>
        <w:rPr>
          <w:rFonts w:ascii="Times New Roman" w:hAnsi="Times New Roman"/>
          <w:b/>
          <w:sz w:val="24"/>
          <w:szCs w:val="24"/>
        </w:rPr>
      </w:pPr>
      <w:r w:rsidRPr="00DE76BB">
        <w:rPr>
          <w:rFonts w:ascii="Times New Roman" w:hAnsi="Times New Roman"/>
          <w:b/>
          <w:sz w:val="24"/>
          <w:szCs w:val="24"/>
        </w:rPr>
        <w:lastRenderedPageBreak/>
        <w:t>Bíblia, um documento historiográfico?</w:t>
      </w:r>
    </w:p>
    <w:p w:rsidR="00430662" w:rsidRPr="002571E5" w:rsidRDefault="00430662" w:rsidP="00080A6F">
      <w:pPr>
        <w:spacing w:line="240" w:lineRule="auto"/>
        <w:ind w:firstLine="851"/>
        <w:jc w:val="both"/>
        <w:rPr>
          <w:rFonts w:ascii="Times New Roman" w:hAnsi="Times New Roman"/>
          <w:sz w:val="24"/>
          <w:szCs w:val="24"/>
        </w:rPr>
      </w:pPr>
      <w:r w:rsidRPr="002571E5">
        <w:rPr>
          <w:rFonts w:ascii="Times New Roman" w:hAnsi="Times New Roman"/>
          <w:sz w:val="24"/>
          <w:szCs w:val="24"/>
        </w:rPr>
        <w:t xml:space="preserve">Muito se questiona no meio acadêmico sobre a plausibilidade de se usar os textos bíblicos como fontes documentais de pesquisas historiográficas. Aparentemente, no imaginário de boa parte dos pesquisadores, tais textos estão tão impregnados de influências teológicas que não se </w:t>
      </w:r>
      <w:proofErr w:type="gramStart"/>
      <w:r w:rsidRPr="002571E5">
        <w:rPr>
          <w:rFonts w:ascii="Times New Roman" w:hAnsi="Times New Roman"/>
          <w:sz w:val="24"/>
          <w:szCs w:val="24"/>
        </w:rPr>
        <w:t>pode</w:t>
      </w:r>
      <w:proofErr w:type="gramEnd"/>
      <w:r w:rsidRPr="002571E5">
        <w:rPr>
          <w:rFonts w:ascii="Times New Roman" w:hAnsi="Times New Roman"/>
          <w:sz w:val="24"/>
          <w:szCs w:val="24"/>
        </w:rPr>
        <w:t xml:space="preserve"> aplicar metodologias de pesquisa em História de forma eficaz sem que seus resultados sejam tendenciosos. Além do mais, tais textos específicos remetem à Antiguidade e Anti</w:t>
      </w:r>
      <w:r w:rsidR="00E96CA8">
        <w:rPr>
          <w:rFonts w:ascii="Times New Roman" w:hAnsi="Times New Roman"/>
          <w:sz w:val="24"/>
          <w:szCs w:val="24"/>
        </w:rPr>
        <w:t>guidade Tardia e foram utilizado</w:t>
      </w:r>
      <w:r w:rsidRPr="002571E5">
        <w:rPr>
          <w:rFonts w:ascii="Times New Roman" w:hAnsi="Times New Roman"/>
          <w:sz w:val="24"/>
          <w:szCs w:val="24"/>
        </w:rPr>
        <w:t xml:space="preserve">s durante séculos, sofrendo traduções, interpolações e adequações das mais diversas até os dias de hoje. Qual a confiabilidade possível de se extrair informações idôneas de uma documentação tão amplamente manuseada? Em nossa opinião, muita, desde que observadas </w:t>
      </w:r>
      <w:proofErr w:type="gramStart"/>
      <w:r w:rsidRPr="002571E5">
        <w:rPr>
          <w:rFonts w:ascii="Times New Roman" w:hAnsi="Times New Roman"/>
          <w:sz w:val="24"/>
          <w:szCs w:val="24"/>
        </w:rPr>
        <w:t>as</w:t>
      </w:r>
      <w:proofErr w:type="gramEnd"/>
      <w:r w:rsidRPr="002571E5">
        <w:rPr>
          <w:rFonts w:ascii="Times New Roman" w:hAnsi="Times New Roman"/>
          <w:sz w:val="24"/>
          <w:szCs w:val="24"/>
        </w:rPr>
        <w:t xml:space="preserve"> características intrínsecas de tal documento, e aplicada de forma coerente a metodologia escolhida.</w:t>
      </w:r>
    </w:p>
    <w:p w:rsidR="00430662" w:rsidRPr="002571E5" w:rsidRDefault="00430662" w:rsidP="00080A6F">
      <w:pPr>
        <w:spacing w:line="240" w:lineRule="auto"/>
        <w:ind w:firstLine="851"/>
        <w:jc w:val="both"/>
        <w:rPr>
          <w:rFonts w:ascii="Times New Roman" w:hAnsi="Times New Roman"/>
          <w:sz w:val="24"/>
          <w:szCs w:val="24"/>
        </w:rPr>
      </w:pPr>
      <w:r w:rsidRPr="002571E5">
        <w:rPr>
          <w:rFonts w:ascii="Times New Roman" w:hAnsi="Times New Roman"/>
          <w:sz w:val="24"/>
          <w:szCs w:val="24"/>
        </w:rPr>
        <w:t xml:space="preserve">Em primeiro lugar, causa-nos espécie que os textos bíblicos tenham detratores tão ferrenhos quando outros textos contemporâneos ou ainda mais antigos sejam amplamente estudados e aceitos – há todo um cabedal de literatura grega clássica sendo exaustivamente estudado por milhares de pesquisadores. Temos a perspectiva de que tal reserva com o material bíblico deve-se ao fato do conhecido e controvertido manuseio do material ao longo dos séculos, além deste estar relacionado diretamente a religiões ainda vivas nos dias hodiernos, com seus discursos e poderes influentes, que </w:t>
      </w:r>
      <w:proofErr w:type="gramStart"/>
      <w:r w:rsidRPr="002571E5">
        <w:rPr>
          <w:rFonts w:ascii="Times New Roman" w:hAnsi="Times New Roman"/>
          <w:sz w:val="24"/>
          <w:szCs w:val="24"/>
        </w:rPr>
        <w:t>multiplicam-se</w:t>
      </w:r>
      <w:proofErr w:type="gramEnd"/>
      <w:r w:rsidRPr="002571E5">
        <w:rPr>
          <w:rFonts w:ascii="Times New Roman" w:hAnsi="Times New Roman"/>
          <w:sz w:val="24"/>
          <w:szCs w:val="24"/>
        </w:rPr>
        <w:t xml:space="preserve"> a cada dia – situação diferente da </w:t>
      </w:r>
      <w:proofErr w:type="spellStart"/>
      <w:r w:rsidRPr="002571E5">
        <w:rPr>
          <w:rFonts w:ascii="Times New Roman" w:hAnsi="Times New Roman"/>
          <w:sz w:val="24"/>
          <w:szCs w:val="24"/>
        </w:rPr>
        <w:t>Teogonia</w:t>
      </w:r>
      <w:proofErr w:type="spellEnd"/>
      <w:r w:rsidRPr="002571E5">
        <w:rPr>
          <w:rFonts w:ascii="Times New Roman" w:hAnsi="Times New Roman"/>
          <w:sz w:val="24"/>
          <w:szCs w:val="24"/>
        </w:rPr>
        <w:t xml:space="preserve"> de Hesíodo, por exemplo. Mas, dado o caráter científico da pesquisa em História, acreditamos que tais influências não devem preocupar os historiadores: quando bem embasados com um arcabouço teórico seguro e manuseando de forma correta as metodologias selecionadas para a pesquisa, qualquer material, de qualquer época, pode ser trabalhado sob viés histórico. Além disso, como bem ressaltou </w:t>
      </w:r>
      <w:proofErr w:type="spellStart"/>
      <w:r w:rsidRPr="002571E5">
        <w:rPr>
          <w:rFonts w:ascii="Times New Roman" w:hAnsi="Times New Roman"/>
          <w:sz w:val="24"/>
          <w:szCs w:val="24"/>
        </w:rPr>
        <w:t>Selvatici</w:t>
      </w:r>
      <w:proofErr w:type="spellEnd"/>
      <w:r w:rsidRPr="002571E5">
        <w:rPr>
          <w:rFonts w:ascii="Times New Roman" w:hAnsi="Times New Roman"/>
          <w:sz w:val="24"/>
          <w:szCs w:val="24"/>
        </w:rPr>
        <w:t>:</w:t>
      </w:r>
    </w:p>
    <w:p w:rsidR="002571E5" w:rsidRPr="002571E5" w:rsidRDefault="002571E5" w:rsidP="00080A6F">
      <w:pPr>
        <w:spacing w:line="240" w:lineRule="auto"/>
        <w:ind w:firstLine="851"/>
        <w:jc w:val="both"/>
        <w:rPr>
          <w:rFonts w:ascii="Times New Roman" w:hAnsi="Times New Roman"/>
          <w:sz w:val="24"/>
          <w:szCs w:val="24"/>
        </w:rPr>
      </w:pPr>
    </w:p>
    <w:p w:rsidR="00430662" w:rsidRPr="002571E5" w:rsidRDefault="00430662" w:rsidP="00080A6F">
      <w:pPr>
        <w:pStyle w:val="CitaoABNT"/>
      </w:pPr>
      <w:r w:rsidRPr="002571E5">
        <w:t>Ao historiador, cabe o papel de São Tomé, aquele que precisa ver para crer, que não se baseia num pressuposto de fé, mas na confrontação de dados empíricos ou ideológicos selecionados, cruzados, seriados, todos fornecidos pela documentação, com as informações colocadas pela bibliografia concernente ao objeto de estudo, sempre no intuito de se fazer a relação do texto para com o contexto no qual ele foi produzido. No caso da Bíblia especificamente, que se trata de uma compilação de textos que apresenta gêneros literários</w:t>
      </w:r>
      <w:r w:rsidR="00E4691E">
        <w:rPr>
          <w:rStyle w:val="Refdenotadefim"/>
        </w:rPr>
        <w:endnoteReference w:id="1"/>
      </w:r>
      <w:r w:rsidRPr="002571E5">
        <w:t xml:space="preserve"> diversos, de diferentes períodos históricos, torna-se necessária a identificação do gênero a que pertence o discurso, a compreensão de tal gênero na época em que surgiu o relato analisado, a exposição das características mais gerais do autor (quando conhecido) e, obviamente, a contextualização histórica do relato em questão e </w:t>
      </w:r>
      <w:r w:rsidR="00E4691E">
        <w:t xml:space="preserve">para que público ele se </w:t>
      </w:r>
      <w:proofErr w:type="gramStart"/>
      <w:r w:rsidR="00E4691E">
        <w:t>dirigiu</w:t>
      </w:r>
      <w:proofErr w:type="gramEnd"/>
      <w:r w:rsidR="00E4691E">
        <w:t xml:space="preserve"> (SELVATICI, 2000:</w:t>
      </w:r>
      <w:r w:rsidR="00E4691E" w:rsidRPr="00A372C4">
        <w:t>93-94</w:t>
      </w:r>
      <w:r w:rsidR="00E4691E">
        <w:t>).</w:t>
      </w:r>
    </w:p>
    <w:p w:rsidR="00430662" w:rsidRPr="002571E5" w:rsidRDefault="00430662" w:rsidP="00080A6F">
      <w:pPr>
        <w:spacing w:line="240" w:lineRule="auto"/>
        <w:ind w:left="2268"/>
        <w:rPr>
          <w:rFonts w:ascii="Times New Roman" w:hAnsi="Times New Roman"/>
          <w:sz w:val="24"/>
          <w:szCs w:val="24"/>
        </w:rPr>
      </w:pPr>
    </w:p>
    <w:p w:rsidR="00430662" w:rsidRPr="002571E5" w:rsidRDefault="00430662" w:rsidP="00080A6F">
      <w:pPr>
        <w:spacing w:line="240" w:lineRule="auto"/>
        <w:ind w:firstLine="709"/>
        <w:jc w:val="both"/>
        <w:rPr>
          <w:rFonts w:ascii="Times New Roman" w:hAnsi="Times New Roman"/>
          <w:sz w:val="24"/>
          <w:szCs w:val="24"/>
        </w:rPr>
      </w:pPr>
      <w:r w:rsidRPr="002571E5">
        <w:rPr>
          <w:rFonts w:ascii="Times New Roman" w:hAnsi="Times New Roman"/>
          <w:sz w:val="24"/>
          <w:szCs w:val="24"/>
        </w:rPr>
        <w:t xml:space="preserve">Tendo esses princípios norteadores por base, neste </w:t>
      </w:r>
      <w:r w:rsidR="00DE76BB">
        <w:rPr>
          <w:rFonts w:ascii="Times New Roman" w:hAnsi="Times New Roman"/>
          <w:sz w:val="24"/>
          <w:szCs w:val="24"/>
        </w:rPr>
        <w:t>trabalho</w:t>
      </w:r>
      <w:r w:rsidRPr="002571E5">
        <w:rPr>
          <w:rFonts w:ascii="Times New Roman" w:hAnsi="Times New Roman"/>
          <w:sz w:val="24"/>
          <w:szCs w:val="24"/>
        </w:rPr>
        <w:t xml:space="preserve"> vamo</w:t>
      </w:r>
      <w:r w:rsidR="00AA3DC9">
        <w:rPr>
          <w:rFonts w:ascii="Times New Roman" w:hAnsi="Times New Roman"/>
          <w:sz w:val="24"/>
          <w:szCs w:val="24"/>
        </w:rPr>
        <w:t>s nos debruçar sobre essa</w:t>
      </w:r>
      <w:r w:rsidRPr="002571E5">
        <w:rPr>
          <w:rFonts w:ascii="Times New Roman" w:hAnsi="Times New Roman"/>
          <w:sz w:val="24"/>
          <w:szCs w:val="24"/>
        </w:rPr>
        <w:t xml:space="preserve"> documentação. Mas antes de aprofundarmo-nos nas características de tal texto, cabe uma digressão com o objetivo de contextualizar historicamente a elaboração dos livros considerados sagrados para os judeus, além da estrutura da sociedade judaica no século I, para que possamos entender sua recepção à época.</w:t>
      </w:r>
    </w:p>
    <w:p w:rsidR="002571E5" w:rsidRDefault="002571E5" w:rsidP="00080A6F">
      <w:pPr>
        <w:pStyle w:val="NormalWeb"/>
        <w:spacing w:before="0" w:beforeAutospacing="0" w:after="200" w:afterAutospacing="0"/>
        <w:ind w:firstLine="708"/>
        <w:jc w:val="both"/>
      </w:pPr>
      <w:r w:rsidRPr="002571E5">
        <w:t>Além disso, não podemos ignorar que investigaremos textos considerados sagrados dentro de determinado contexto, e uma das características do livro sacro é estabelecer o estatuto fundamental de uma religião</w:t>
      </w:r>
      <w:proofErr w:type="gramStart"/>
      <w:r w:rsidR="00E4691E" w:rsidRPr="00221954">
        <w:rPr>
          <w:rStyle w:val="Refdenotaderodap"/>
          <w:vertAlign w:val="baseline"/>
        </w:rPr>
        <w:t xml:space="preserve"> </w:t>
      </w:r>
      <w:r w:rsidR="00221954" w:rsidRPr="00221954">
        <w:rPr>
          <w:rStyle w:val="Refdenotaderodap"/>
          <w:vertAlign w:val="baseline"/>
        </w:rPr>
        <w:t>(</w:t>
      </w:r>
      <w:r w:rsidR="00E4691E" w:rsidRPr="001A0C3B">
        <w:t>DI NOLA, 1987:222</w:t>
      </w:r>
      <w:r w:rsidR="00221954" w:rsidRPr="001A0C3B">
        <w:t>)</w:t>
      </w:r>
      <w:proofErr w:type="gramEnd"/>
      <w:r w:rsidRPr="002571E5">
        <w:t xml:space="preserve">. Devemos também atentar </w:t>
      </w:r>
      <w:r w:rsidR="00AA3DC9">
        <w:t xml:space="preserve">para o fato de </w:t>
      </w:r>
      <w:r w:rsidRPr="002571E5">
        <w:t xml:space="preserve">que “o livro constitui a passagem de uma condição total do fazer história para uma condição elitista de fazer história e de </w:t>
      </w:r>
      <w:proofErr w:type="gramStart"/>
      <w:r w:rsidRPr="002571E5">
        <w:t>a impor</w:t>
      </w:r>
      <w:proofErr w:type="gramEnd"/>
      <w:r w:rsidRPr="002571E5">
        <w:t>”</w:t>
      </w:r>
      <w:r w:rsidR="00221954">
        <w:t xml:space="preserve"> </w:t>
      </w:r>
      <w:r w:rsidR="00221954" w:rsidRPr="00221954">
        <w:rPr>
          <w:rStyle w:val="Refdenotaderodap"/>
          <w:vertAlign w:val="baseline"/>
        </w:rPr>
        <w:t>(</w:t>
      </w:r>
      <w:r w:rsidR="00832233" w:rsidRPr="001A0C3B">
        <w:t xml:space="preserve">Ibid., </w:t>
      </w:r>
      <w:r w:rsidR="00221954" w:rsidRPr="001A0C3B">
        <w:t>215)</w:t>
      </w:r>
      <w:r w:rsidRPr="002571E5">
        <w:t xml:space="preserve">. </w:t>
      </w:r>
    </w:p>
    <w:p w:rsidR="00AA3DC9" w:rsidRPr="00AA3DC9" w:rsidRDefault="00AA3DC9" w:rsidP="00080A6F">
      <w:pPr>
        <w:pStyle w:val="NormalWeb"/>
        <w:numPr>
          <w:ilvl w:val="0"/>
          <w:numId w:val="2"/>
        </w:numPr>
        <w:spacing w:before="0" w:beforeAutospacing="0" w:after="200" w:afterAutospacing="0"/>
        <w:jc w:val="both"/>
        <w:rPr>
          <w:b/>
        </w:rPr>
      </w:pPr>
      <w:r w:rsidRPr="00AA3DC9">
        <w:rPr>
          <w:b/>
        </w:rPr>
        <w:lastRenderedPageBreak/>
        <w:t>Oralidade e escrita</w:t>
      </w:r>
    </w:p>
    <w:p w:rsidR="002571E5" w:rsidRPr="002571E5" w:rsidRDefault="002571E5" w:rsidP="00080A6F">
      <w:pPr>
        <w:spacing w:line="240" w:lineRule="auto"/>
        <w:ind w:firstLine="539"/>
        <w:jc w:val="both"/>
        <w:rPr>
          <w:rFonts w:ascii="Times New Roman" w:hAnsi="Times New Roman"/>
          <w:sz w:val="24"/>
          <w:szCs w:val="24"/>
        </w:rPr>
      </w:pPr>
      <w:r w:rsidRPr="002571E5">
        <w:rPr>
          <w:rFonts w:ascii="Times New Roman" w:hAnsi="Times New Roman"/>
          <w:sz w:val="24"/>
          <w:szCs w:val="24"/>
        </w:rPr>
        <w:tab/>
        <w:t xml:space="preserve">É necessário assinalar que a sociedade palestina do I século era essencialmente iletrada. Para a maioria das culturas hodiernas, o conhecimento é repassado de forma escrita; um indivíduo que não saiba ler ou escrever é considerado analfabeto e, desta forma, encontra-se distante do contato direto com textos, inclusive os religiosos. Para os judeus da época, porém, a realidade era outra; não podemos afirmar que homens e mulheres iletrados não tinham acesso aos textos sagrados de sua religião, a sua mitologia, já que a transmissão era quase totalmente </w:t>
      </w:r>
      <w:r w:rsidRPr="002571E5">
        <w:rPr>
          <w:rFonts w:ascii="Times New Roman" w:hAnsi="Times New Roman"/>
          <w:b/>
          <w:bCs/>
          <w:sz w:val="24"/>
          <w:szCs w:val="24"/>
        </w:rPr>
        <w:t>oral</w:t>
      </w:r>
      <w:r w:rsidRPr="002571E5">
        <w:rPr>
          <w:rFonts w:ascii="Times New Roman" w:hAnsi="Times New Roman"/>
          <w:sz w:val="24"/>
          <w:szCs w:val="24"/>
        </w:rPr>
        <w:t>. Embora os povos “sem escritura” tenham sido outrora considerados “sem civilização”</w:t>
      </w:r>
      <w:r w:rsidR="00221954">
        <w:rPr>
          <w:rFonts w:ascii="Times New Roman" w:hAnsi="Times New Roman"/>
          <w:sz w:val="24"/>
          <w:szCs w:val="24"/>
        </w:rPr>
        <w:t xml:space="preserve"> </w:t>
      </w:r>
      <w:r w:rsidR="005E154A">
        <w:rPr>
          <w:rFonts w:ascii="Times New Roman" w:hAnsi="Times New Roman"/>
          <w:sz w:val="24"/>
          <w:szCs w:val="24"/>
        </w:rPr>
        <w:t>(</w:t>
      </w:r>
      <w:r w:rsidR="00221954" w:rsidRPr="005E154A">
        <w:rPr>
          <w:rFonts w:ascii="Times New Roman" w:hAnsi="Times New Roman"/>
          <w:sz w:val="24"/>
          <w:szCs w:val="24"/>
        </w:rPr>
        <w:t>DETIENNE, 2004:30</w:t>
      </w:r>
      <w:r w:rsidR="005E154A">
        <w:rPr>
          <w:rFonts w:ascii="Times New Roman" w:hAnsi="Times New Roman"/>
          <w:sz w:val="24"/>
          <w:szCs w:val="24"/>
        </w:rPr>
        <w:t>)</w:t>
      </w:r>
      <w:r w:rsidRPr="002571E5">
        <w:rPr>
          <w:rFonts w:ascii="Times New Roman" w:hAnsi="Times New Roman"/>
          <w:sz w:val="24"/>
          <w:szCs w:val="24"/>
        </w:rPr>
        <w:t>, hoje essa classificação pejorativa já não encontra espaço na maioria dos estudos. “Em toda a história do mundo, houve sociedades humanas sem alfabetização, mas nunca houve alguma sem oralidade”</w:t>
      </w:r>
      <w:r w:rsidR="005E154A">
        <w:rPr>
          <w:rFonts w:ascii="Times New Roman" w:hAnsi="Times New Roman"/>
          <w:sz w:val="24"/>
          <w:szCs w:val="24"/>
        </w:rPr>
        <w:t xml:space="preserve"> </w:t>
      </w:r>
      <w:r w:rsidR="005E154A" w:rsidRPr="005E154A">
        <w:rPr>
          <w:rFonts w:ascii="Times New Roman" w:hAnsi="Times New Roman"/>
          <w:sz w:val="24"/>
          <w:szCs w:val="24"/>
        </w:rPr>
        <w:t>(CROSSAN, 2004:88)</w:t>
      </w:r>
      <w:r w:rsidRPr="002571E5">
        <w:rPr>
          <w:rFonts w:ascii="Times New Roman" w:hAnsi="Times New Roman"/>
          <w:sz w:val="24"/>
          <w:szCs w:val="24"/>
        </w:rPr>
        <w:t>.</w:t>
      </w:r>
    </w:p>
    <w:p w:rsidR="00AA3DC9" w:rsidRDefault="002571E5" w:rsidP="00080A6F">
      <w:pPr>
        <w:spacing w:line="240" w:lineRule="auto"/>
        <w:ind w:firstLine="539"/>
        <w:jc w:val="both"/>
        <w:rPr>
          <w:rFonts w:ascii="Times New Roman" w:hAnsi="Times New Roman"/>
          <w:sz w:val="24"/>
          <w:szCs w:val="24"/>
        </w:rPr>
      </w:pPr>
      <w:r w:rsidRPr="002571E5">
        <w:rPr>
          <w:rFonts w:ascii="Times New Roman" w:hAnsi="Times New Roman"/>
          <w:sz w:val="24"/>
          <w:szCs w:val="24"/>
        </w:rPr>
        <w:t xml:space="preserve">Cabe ressaltar, porém, que quando nos referimos à oralidade na Palestina do I século, referimo-nos ao que </w:t>
      </w:r>
      <w:proofErr w:type="spellStart"/>
      <w:r w:rsidRPr="002571E5">
        <w:rPr>
          <w:rFonts w:ascii="Times New Roman" w:hAnsi="Times New Roman"/>
          <w:sz w:val="24"/>
          <w:szCs w:val="24"/>
        </w:rPr>
        <w:t>Crossan</w:t>
      </w:r>
      <w:proofErr w:type="spellEnd"/>
      <w:r w:rsidRPr="002571E5">
        <w:rPr>
          <w:rFonts w:ascii="Times New Roman" w:hAnsi="Times New Roman"/>
          <w:sz w:val="24"/>
          <w:szCs w:val="24"/>
        </w:rPr>
        <w:t xml:space="preserve"> define como </w:t>
      </w:r>
      <w:r w:rsidRPr="002571E5">
        <w:rPr>
          <w:rFonts w:ascii="Times New Roman" w:hAnsi="Times New Roman"/>
          <w:b/>
          <w:bCs/>
          <w:sz w:val="24"/>
          <w:szCs w:val="24"/>
        </w:rPr>
        <w:t>transmissão oral</w:t>
      </w:r>
      <w:r w:rsidRPr="002571E5">
        <w:rPr>
          <w:rFonts w:ascii="Times New Roman" w:hAnsi="Times New Roman"/>
          <w:sz w:val="24"/>
          <w:szCs w:val="24"/>
        </w:rPr>
        <w:t xml:space="preserve">, e não </w:t>
      </w:r>
      <w:r w:rsidRPr="002571E5">
        <w:rPr>
          <w:rFonts w:ascii="Times New Roman" w:hAnsi="Times New Roman"/>
          <w:b/>
          <w:bCs/>
          <w:sz w:val="24"/>
          <w:szCs w:val="24"/>
        </w:rPr>
        <w:t>tradição oral</w:t>
      </w:r>
      <w:r w:rsidRPr="002571E5">
        <w:rPr>
          <w:rFonts w:ascii="Times New Roman" w:hAnsi="Times New Roman"/>
          <w:sz w:val="24"/>
          <w:szCs w:val="24"/>
        </w:rPr>
        <w:t xml:space="preserve">. Esta </w:t>
      </w:r>
      <w:proofErr w:type="gramStart"/>
      <w:r w:rsidRPr="002571E5">
        <w:rPr>
          <w:rFonts w:ascii="Times New Roman" w:hAnsi="Times New Roman"/>
          <w:sz w:val="24"/>
          <w:szCs w:val="24"/>
        </w:rPr>
        <w:t>refere-se</w:t>
      </w:r>
      <w:proofErr w:type="gramEnd"/>
      <w:r w:rsidRPr="002571E5">
        <w:rPr>
          <w:rFonts w:ascii="Times New Roman" w:hAnsi="Times New Roman"/>
          <w:sz w:val="24"/>
          <w:szCs w:val="24"/>
        </w:rPr>
        <w:t xml:space="preserve"> à tradição repetida de forma criativa por indivíduos que se dedicaram a aprender tais histórias de outros, e não através de livros, como estudiosos; não há uma versão uniforme, mas “a execução multiforme ou </w:t>
      </w:r>
      <w:proofErr w:type="spellStart"/>
      <w:r w:rsidRPr="002571E5">
        <w:rPr>
          <w:rFonts w:ascii="Times New Roman" w:hAnsi="Times New Roman"/>
          <w:sz w:val="24"/>
          <w:szCs w:val="24"/>
        </w:rPr>
        <w:t>pluriforme</w:t>
      </w:r>
      <w:proofErr w:type="spellEnd"/>
      <w:r w:rsidRPr="002571E5">
        <w:rPr>
          <w:rFonts w:ascii="Times New Roman" w:hAnsi="Times New Roman"/>
          <w:sz w:val="24"/>
          <w:szCs w:val="24"/>
        </w:rPr>
        <w:t xml:space="preserve"> de uma matriz narrativa tradicional”</w:t>
      </w:r>
      <w:r w:rsidR="005E154A">
        <w:rPr>
          <w:rFonts w:ascii="Times New Roman" w:hAnsi="Times New Roman"/>
          <w:sz w:val="24"/>
          <w:szCs w:val="24"/>
        </w:rPr>
        <w:t xml:space="preserve"> </w:t>
      </w:r>
      <w:r w:rsidR="005E154A" w:rsidRPr="005E154A">
        <w:rPr>
          <w:rFonts w:ascii="Times New Roman" w:hAnsi="Times New Roman"/>
          <w:sz w:val="24"/>
          <w:szCs w:val="24"/>
        </w:rPr>
        <w:t>(Ibid., 91)</w:t>
      </w:r>
      <w:r w:rsidRPr="002571E5">
        <w:rPr>
          <w:rFonts w:ascii="Times New Roman" w:hAnsi="Times New Roman"/>
          <w:sz w:val="24"/>
          <w:szCs w:val="24"/>
        </w:rPr>
        <w:t xml:space="preserve">. Aquela, por outro lado, refere-se à transmissão oral de uma matriz anteriormente escrita, cujo texto pode ser consultado para dirimir eventuais discordâncias entre as versões orais. </w:t>
      </w:r>
    </w:p>
    <w:p w:rsidR="002571E5" w:rsidRPr="002571E5" w:rsidRDefault="002571E5" w:rsidP="00080A6F">
      <w:pPr>
        <w:spacing w:line="240" w:lineRule="auto"/>
        <w:ind w:firstLine="539"/>
        <w:jc w:val="both"/>
        <w:rPr>
          <w:rFonts w:ascii="Times New Roman" w:hAnsi="Times New Roman"/>
          <w:sz w:val="24"/>
          <w:szCs w:val="24"/>
        </w:rPr>
      </w:pPr>
      <w:r w:rsidRPr="002571E5">
        <w:rPr>
          <w:rFonts w:ascii="Times New Roman" w:hAnsi="Times New Roman"/>
          <w:sz w:val="24"/>
          <w:szCs w:val="24"/>
        </w:rPr>
        <w:t xml:space="preserve">A transição da tradição religiosa oral para escrita, aliás, é uma transformação deveras lenta. Há a questão da autoria (e consequente autoridade) Divina, e o perigo de apropriação indevida dessa autoria (e autoridade) pela classe sacerdotal – perigo esse não de todo infundado, já que deter o controle de acesso aos textos religiosos, numa sociedade iletrada, significa deter o controle das crenças que são (e de que forma elas são) repassadas ao povo e, em grande parte, da própria vida em sociedade. Acerca da passagem da tradição oral para a escrita, Di </w:t>
      </w:r>
      <w:proofErr w:type="spellStart"/>
      <w:r w:rsidRPr="002571E5">
        <w:rPr>
          <w:rFonts w:ascii="Times New Roman" w:hAnsi="Times New Roman"/>
          <w:sz w:val="24"/>
          <w:szCs w:val="24"/>
        </w:rPr>
        <w:t>Nola</w:t>
      </w:r>
      <w:proofErr w:type="spellEnd"/>
      <w:r w:rsidRPr="002571E5">
        <w:rPr>
          <w:rFonts w:ascii="Times New Roman" w:hAnsi="Times New Roman"/>
          <w:sz w:val="24"/>
          <w:szCs w:val="24"/>
        </w:rPr>
        <w:t xml:space="preserve"> nos diz que:</w:t>
      </w:r>
    </w:p>
    <w:p w:rsidR="002571E5" w:rsidRPr="002571E5" w:rsidRDefault="002571E5" w:rsidP="00080A6F">
      <w:pPr>
        <w:spacing w:line="240" w:lineRule="auto"/>
        <w:ind w:firstLine="539"/>
        <w:jc w:val="both"/>
        <w:rPr>
          <w:rFonts w:ascii="Times New Roman" w:hAnsi="Times New Roman"/>
        </w:rPr>
      </w:pPr>
    </w:p>
    <w:p w:rsidR="002571E5" w:rsidRPr="00C2385B" w:rsidRDefault="002571E5" w:rsidP="00080A6F">
      <w:pPr>
        <w:spacing w:line="240" w:lineRule="auto"/>
        <w:ind w:left="2268"/>
        <w:jc w:val="both"/>
        <w:rPr>
          <w:rFonts w:ascii="Times New Roman" w:hAnsi="Times New Roman"/>
          <w:sz w:val="20"/>
          <w:szCs w:val="20"/>
        </w:rPr>
      </w:pPr>
      <w:r w:rsidRPr="00C2385B">
        <w:rPr>
          <w:rFonts w:ascii="Times New Roman" w:hAnsi="Times New Roman"/>
          <w:sz w:val="20"/>
          <w:szCs w:val="20"/>
        </w:rPr>
        <w:t xml:space="preserve">[...] a cristalização da narrativa oral na escrita e, consequentemente, no livro, se configura como a progressiva expropriação de sistemas de comunicação pertencentes à </w:t>
      </w:r>
      <w:proofErr w:type="spellStart"/>
      <w:r w:rsidRPr="00C2385B">
        <w:rPr>
          <w:rFonts w:ascii="Times New Roman" w:hAnsi="Times New Roman"/>
          <w:sz w:val="20"/>
          <w:szCs w:val="20"/>
        </w:rPr>
        <w:t>colectividade</w:t>
      </w:r>
      <w:proofErr w:type="spellEnd"/>
      <w:r w:rsidRPr="00C2385B">
        <w:rPr>
          <w:rFonts w:ascii="Times New Roman" w:hAnsi="Times New Roman"/>
          <w:sz w:val="20"/>
          <w:szCs w:val="20"/>
        </w:rPr>
        <w:t xml:space="preserve"> [</w:t>
      </w:r>
      <w:r w:rsidRPr="00C2385B">
        <w:rPr>
          <w:rFonts w:ascii="Times New Roman" w:hAnsi="Times New Roman"/>
          <w:i/>
          <w:iCs/>
          <w:sz w:val="20"/>
          <w:szCs w:val="20"/>
        </w:rPr>
        <w:t>sic</w:t>
      </w:r>
      <w:r w:rsidRPr="00C2385B">
        <w:rPr>
          <w:rFonts w:ascii="Times New Roman" w:hAnsi="Times New Roman"/>
          <w:sz w:val="20"/>
          <w:szCs w:val="20"/>
        </w:rPr>
        <w:t>] por parte de núcleos de casta os quais, precisamente através dos novos instrumentos de comunicação (livro e escrita), realizam o exercício do poder</w:t>
      </w:r>
      <w:r w:rsidR="005E154A" w:rsidRPr="00C2385B">
        <w:rPr>
          <w:rFonts w:ascii="Times New Roman" w:hAnsi="Times New Roman"/>
          <w:sz w:val="20"/>
          <w:szCs w:val="20"/>
        </w:rPr>
        <w:t xml:space="preserve"> (DI NOLA, 1987:215)</w:t>
      </w:r>
      <w:r w:rsidRPr="00C2385B">
        <w:rPr>
          <w:rFonts w:ascii="Times New Roman" w:hAnsi="Times New Roman"/>
          <w:sz w:val="20"/>
          <w:szCs w:val="20"/>
        </w:rPr>
        <w:t>.</w:t>
      </w:r>
    </w:p>
    <w:p w:rsidR="002571E5" w:rsidRPr="002571E5" w:rsidRDefault="002571E5" w:rsidP="00080A6F">
      <w:pPr>
        <w:spacing w:line="240" w:lineRule="auto"/>
        <w:ind w:firstLine="539"/>
        <w:jc w:val="both"/>
        <w:rPr>
          <w:rFonts w:ascii="Times New Roman" w:hAnsi="Times New Roman"/>
        </w:rPr>
      </w:pPr>
    </w:p>
    <w:p w:rsidR="00430662" w:rsidRDefault="002571E5" w:rsidP="00080A6F">
      <w:pPr>
        <w:spacing w:line="240" w:lineRule="auto"/>
        <w:jc w:val="both"/>
        <w:rPr>
          <w:rFonts w:ascii="Times New Roman" w:hAnsi="Times New Roman"/>
          <w:sz w:val="24"/>
          <w:szCs w:val="24"/>
        </w:rPr>
      </w:pPr>
      <w:r w:rsidRPr="002571E5">
        <w:rPr>
          <w:rFonts w:ascii="Times New Roman" w:hAnsi="Times New Roman"/>
        </w:rPr>
        <w:t xml:space="preserve"> </w:t>
      </w:r>
      <w:r>
        <w:rPr>
          <w:rFonts w:ascii="Times New Roman" w:hAnsi="Times New Roman"/>
        </w:rPr>
        <w:tab/>
      </w:r>
      <w:r w:rsidRPr="002571E5">
        <w:rPr>
          <w:rFonts w:ascii="Times New Roman" w:hAnsi="Times New Roman"/>
          <w:sz w:val="24"/>
          <w:szCs w:val="24"/>
        </w:rPr>
        <w:t xml:space="preserve">A prática da oralidade (seja como </w:t>
      </w:r>
      <w:r w:rsidRPr="002571E5">
        <w:rPr>
          <w:rFonts w:ascii="Times New Roman" w:hAnsi="Times New Roman"/>
          <w:b/>
          <w:bCs/>
          <w:sz w:val="24"/>
          <w:szCs w:val="24"/>
        </w:rPr>
        <w:t xml:space="preserve">transmissão </w:t>
      </w:r>
      <w:r w:rsidRPr="002571E5">
        <w:rPr>
          <w:rFonts w:ascii="Times New Roman" w:hAnsi="Times New Roman"/>
          <w:sz w:val="24"/>
          <w:szCs w:val="24"/>
        </w:rPr>
        <w:t>ou</w:t>
      </w:r>
      <w:r w:rsidRPr="002571E5">
        <w:rPr>
          <w:rFonts w:ascii="Times New Roman" w:hAnsi="Times New Roman"/>
          <w:b/>
          <w:bCs/>
          <w:sz w:val="24"/>
          <w:szCs w:val="24"/>
        </w:rPr>
        <w:t xml:space="preserve"> tradição</w:t>
      </w:r>
      <w:r w:rsidRPr="002571E5">
        <w:rPr>
          <w:rFonts w:ascii="Times New Roman" w:hAnsi="Times New Roman"/>
          <w:sz w:val="24"/>
          <w:szCs w:val="24"/>
        </w:rPr>
        <w:t>) detém uma maior fluidez, não encontrada nos textos escritos; estes retratam e deixam impressos sua dependência de uma época histórica e literária que ecoa seu patrimônio linguístico, seus arcaísmos e artifícios literários</w:t>
      </w:r>
      <w:r w:rsidR="005E154A">
        <w:rPr>
          <w:rFonts w:ascii="Times New Roman" w:hAnsi="Times New Roman"/>
          <w:sz w:val="24"/>
          <w:szCs w:val="24"/>
        </w:rPr>
        <w:t xml:space="preserve"> </w:t>
      </w:r>
      <w:r w:rsidR="005E154A" w:rsidRPr="005E154A">
        <w:rPr>
          <w:rFonts w:ascii="Times New Roman" w:hAnsi="Times New Roman"/>
          <w:sz w:val="24"/>
          <w:szCs w:val="24"/>
        </w:rPr>
        <w:t>(TERRIN, 2003:157)</w:t>
      </w:r>
      <w:r w:rsidRPr="005E154A">
        <w:rPr>
          <w:rFonts w:ascii="Times New Roman" w:hAnsi="Times New Roman"/>
          <w:sz w:val="24"/>
          <w:szCs w:val="24"/>
        </w:rPr>
        <w:t>.</w:t>
      </w:r>
      <w:r w:rsidRPr="002571E5">
        <w:rPr>
          <w:rFonts w:ascii="Times New Roman" w:hAnsi="Times New Roman"/>
          <w:sz w:val="24"/>
          <w:szCs w:val="24"/>
        </w:rPr>
        <w:t xml:space="preserve"> Os textos do </w:t>
      </w:r>
      <w:proofErr w:type="spellStart"/>
      <w:r w:rsidRPr="002571E5">
        <w:rPr>
          <w:rFonts w:ascii="Times New Roman" w:hAnsi="Times New Roman"/>
          <w:i/>
          <w:iCs/>
          <w:sz w:val="24"/>
          <w:szCs w:val="24"/>
        </w:rPr>
        <w:t>Tanach</w:t>
      </w:r>
      <w:proofErr w:type="spellEnd"/>
      <w:r w:rsidR="005E154A">
        <w:rPr>
          <w:rStyle w:val="Refdenotadefim"/>
          <w:rFonts w:ascii="Times New Roman" w:hAnsi="Times New Roman"/>
          <w:i/>
          <w:iCs/>
          <w:sz w:val="24"/>
          <w:szCs w:val="24"/>
        </w:rPr>
        <w:endnoteReference w:id="2"/>
      </w:r>
      <w:r w:rsidRPr="002571E5">
        <w:rPr>
          <w:rFonts w:ascii="Times New Roman" w:hAnsi="Times New Roman"/>
          <w:sz w:val="24"/>
          <w:szCs w:val="24"/>
        </w:rPr>
        <w:t xml:space="preserve">, em geral, e da </w:t>
      </w:r>
      <w:r w:rsidRPr="002571E5">
        <w:rPr>
          <w:rFonts w:ascii="Times New Roman" w:hAnsi="Times New Roman"/>
          <w:i/>
          <w:iCs/>
          <w:sz w:val="24"/>
          <w:szCs w:val="24"/>
        </w:rPr>
        <w:t>Torá</w:t>
      </w:r>
      <w:r w:rsidRPr="002571E5">
        <w:rPr>
          <w:rFonts w:ascii="Times New Roman" w:hAnsi="Times New Roman"/>
          <w:sz w:val="24"/>
          <w:szCs w:val="24"/>
        </w:rPr>
        <w:t xml:space="preserve">, em particular, foram escritos de forma a serem facilmente memorizáveis, já que a oralidade não trabalha períodos completos, mas fórmulas que facilitem a memorização. É um tipo de cognição peculiar, diferente da existente em culturas essencialmente baseadas na escrita, já que a oralidade trabalha com conceitos concretos, limitando, desta forma, o vocabulário, e não permitindo abstracionismos. </w:t>
      </w:r>
      <w:r w:rsidR="00430662" w:rsidRPr="002571E5">
        <w:rPr>
          <w:rFonts w:ascii="Times New Roman" w:hAnsi="Times New Roman"/>
          <w:sz w:val="24"/>
          <w:szCs w:val="24"/>
        </w:rPr>
        <w:t xml:space="preserve">Acredita-se que os primeiros escritos bíblicos tenham surgido no final do período conhecido como </w:t>
      </w:r>
      <w:r w:rsidR="00430662" w:rsidRPr="002571E5">
        <w:rPr>
          <w:rFonts w:ascii="Times New Roman" w:hAnsi="Times New Roman"/>
          <w:b/>
          <w:sz w:val="24"/>
          <w:szCs w:val="24"/>
        </w:rPr>
        <w:t xml:space="preserve">tribal </w:t>
      </w:r>
      <w:r w:rsidR="00430662" w:rsidRPr="002571E5">
        <w:rPr>
          <w:rFonts w:ascii="Times New Roman" w:hAnsi="Times New Roman"/>
          <w:sz w:val="24"/>
          <w:szCs w:val="24"/>
        </w:rPr>
        <w:t xml:space="preserve">(1220-1030 </w:t>
      </w:r>
      <w:proofErr w:type="spellStart"/>
      <w:proofErr w:type="gramStart"/>
      <w:r w:rsidR="00430662" w:rsidRPr="002571E5">
        <w:rPr>
          <w:rFonts w:ascii="Times New Roman" w:hAnsi="Times New Roman"/>
          <w:sz w:val="24"/>
          <w:szCs w:val="24"/>
        </w:rPr>
        <w:t>a.E.C.</w:t>
      </w:r>
      <w:proofErr w:type="spellEnd"/>
      <w:proofErr w:type="gramEnd"/>
      <w:r w:rsidR="00430662" w:rsidRPr="002571E5">
        <w:rPr>
          <w:rFonts w:ascii="Times New Roman" w:hAnsi="Times New Roman"/>
          <w:sz w:val="24"/>
          <w:szCs w:val="24"/>
        </w:rPr>
        <w:t>), e eram constituídos por pequenos textos que, posteriormente, foram expandidos e inseridos nos livros como os conhecemos hoje. Podemos citar como exemplos desses escritos iniciais o Cântico de Débora (</w:t>
      </w:r>
      <w:proofErr w:type="spellStart"/>
      <w:r w:rsidR="00430662" w:rsidRPr="002571E5">
        <w:rPr>
          <w:rFonts w:ascii="Times New Roman" w:hAnsi="Times New Roman"/>
          <w:sz w:val="24"/>
          <w:szCs w:val="24"/>
        </w:rPr>
        <w:t>Jz</w:t>
      </w:r>
      <w:proofErr w:type="spellEnd"/>
      <w:r w:rsidR="00430662" w:rsidRPr="002571E5">
        <w:rPr>
          <w:rFonts w:ascii="Times New Roman" w:hAnsi="Times New Roman"/>
          <w:sz w:val="24"/>
          <w:szCs w:val="24"/>
        </w:rPr>
        <w:t xml:space="preserve"> 5), o Decálogo, ou os Dez Mandamentos (Ex 20:1-21), o Código da Aliança (Ex 19, 20, 22 e 23), além de alguns Salmos ou trechos deles</w:t>
      </w:r>
      <w:r w:rsidR="00E76EA4">
        <w:rPr>
          <w:rFonts w:ascii="Times New Roman" w:hAnsi="Times New Roman"/>
          <w:sz w:val="24"/>
          <w:szCs w:val="24"/>
        </w:rPr>
        <w:t>, como</w:t>
      </w:r>
      <w:r w:rsidR="00430662" w:rsidRPr="002571E5">
        <w:rPr>
          <w:rFonts w:ascii="Times New Roman" w:hAnsi="Times New Roman"/>
          <w:sz w:val="24"/>
          <w:szCs w:val="24"/>
        </w:rPr>
        <w:t xml:space="preserve"> 19:2-7; 29; 68; 82; 136</w:t>
      </w:r>
      <w:r w:rsidR="00E76EA4">
        <w:rPr>
          <w:rFonts w:ascii="Times New Roman" w:hAnsi="Times New Roman"/>
          <w:sz w:val="24"/>
          <w:szCs w:val="24"/>
        </w:rPr>
        <w:t xml:space="preserve"> </w:t>
      </w:r>
      <w:r w:rsidR="00E76EA4" w:rsidRPr="00E76EA4">
        <w:rPr>
          <w:rFonts w:ascii="Times New Roman" w:hAnsi="Times New Roman"/>
          <w:sz w:val="24"/>
          <w:szCs w:val="24"/>
        </w:rPr>
        <w:t>(</w:t>
      </w:r>
      <w:r w:rsidR="00E76EA4">
        <w:rPr>
          <w:rFonts w:ascii="Times New Roman" w:hAnsi="Times New Roman"/>
          <w:sz w:val="24"/>
          <w:szCs w:val="24"/>
        </w:rPr>
        <w:t>FERREIRA, 2009:65-</w:t>
      </w:r>
      <w:r w:rsidR="00E76EA4">
        <w:rPr>
          <w:rFonts w:ascii="Times New Roman" w:hAnsi="Times New Roman"/>
          <w:sz w:val="24"/>
          <w:szCs w:val="24"/>
        </w:rPr>
        <w:lastRenderedPageBreak/>
        <w:t>66</w:t>
      </w:r>
      <w:r w:rsidR="00E76EA4" w:rsidRPr="00E76EA4">
        <w:rPr>
          <w:rFonts w:ascii="Times New Roman" w:hAnsi="Times New Roman"/>
          <w:sz w:val="24"/>
          <w:szCs w:val="24"/>
        </w:rPr>
        <w:t>)</w:t>
      </w:r>
      <w:r w:rsidR="00430662" w:rsidRPr="002571E5">
        <w:rPr>
          <w:rFonts w:ascii="Times New Roman" w:hAnsi="Times New Roman"/>
          <w:sz w:val="24"/>
          <w:szCs w:val="24"/>
        </w:rPr>
        <w:t>. Ao longo dos séculos outros textos e até mesmo livros inteiros foram sendo desenvolvidos, de acordo com a necessidade cultural que o povo e/ou seus governantes e sacerdotes percebiam existir; não à toa parte do livro de Levítico, um livro essencialmente legislativo, cujas leis não seguem qualquer ordem e que pode ser dividido segundo seus temas</w:t>
      </w:r>
      <w:r w:rsidR="00E76EA4">
        <w:rPr>
          <w:rFonts w:ascii="Times New Roman" w:hAnsi="Times New Roman"/>
          <w:sz w:val="24"/>
          <w:szCs w:val="24"/>
        </w:rPr>
        <w:t xml:space="preserve"> </w:t>
      </w:r>
      <w:r w:rsidR="00E76EA4" w:rsidRPr="00E76EA4">
        <w:rPr>
          <w:rFonts w:ascii="Times New Roman" w:hAnsi="Times New Roman"/>
          <w:sz w:val="24"/>
          <w:szCs w:val="24"/>
        </w:rPr>
        <w:t>(TORÁ, 2001:287)</w:t>
      </w:r>
      <w:r w:rsidR="00430662" w:rsidRPr="002571E5">
        <w:rPr>
          <w:rFonts w:ascii="Times New Roman" w:hAnsi="Times New Roman"/>
          <w:sz w:val="24"/>
          <w:szCs w:val="24"/>
        </w:rPr>
        <w:t xml:space="preserve">, foi escrito em grande parte (a saber, do capítulo 8 </w:t>
      </w:r>
      <w:proofErr w:type="gramStart"/>
      <w:r w:rsidR="00430662" w:rsidRPr="002571E5">
        <w:rPr>
          <w:rFonts w:ascii="Times New Roman" w:hAnsi="Times New Roman"/>
          <w:sz w:val="24"/>
          <w:szCs w:val="24"/>
        </w:rPr>
        <w:t>ao 10</w:t>
      </w:r>
      <w:proofErr w:type="gramEnd"/>
      <w:r w:rsidR="00430662" w:rsidRPr="002571E5">
        <w:rPr>
          <w:rFonts w:ascii="Times New Roman" w:hAnsi="Times New Roman"/>
          <w:sz w:val="24"/>
          <w:szCs w:val="24"/>
        </w:rPr>
        <w:t xml:space="preserve"> e do capítulo 17 ao 26) durante o exílio babilônico, entre 587 e 538 </w:t>
      </w:r>
      <w:proofErr w:type="spellStart"/>
      <w:r w:rsidR="00430662" w:rsidRPr="002571E5">
        <w:rPr>
          <w:rFonts w:ascii="Times New Roman" w:hAnsi="Times New Roman"/>
          <w:sz w:val="24"/>
          <w:szCs w:val="24"/>
        </w:rPr>
        <w:t>a.E.C.</w:t>
      </w:r>
      <w:proofErr w:type="spellEnd"/>
      <w:r w:rsidR="00E76EA4" w:rsidRPr="00E76EA4">
        <w:rPr>
          <w:rFonts w:ascii="Times New Roman" w:hAnsi="Times New Roman"/>
          <w:sz w:val="24"/>
          <w:szCs w:val="24"/>
        </w:rPr>
        <w:t>( FERREIRA, 2009:98)</w:t>
      </w:r>
      <w:r w:rsidR="00D525DB">
        <w:rPr>
          <w:rStyle w:val="Refdenotadefim"/>
          <w:rFonts w:ascii="Times New Roman" w:hAnsi="Times New Roman"/>
          <w:sz w:val="24"/>
          <w:szCs w:val="24"/>
        </w:rPr>
        <w:endnoteReference w:id="3"/>
      </w:r>
      <w:r w:rsidR="00430662" w:rsidRPr="002571E5">
        <w:rPr>
          <w:rFonts w:ascii="Times New Roman" w:hAnsi="Times New Roman"/>
          <w:sz w:val="24"/>
          <w:szCs w:val="24"/>
        </w:rPr>
        <w:t xml:space="preserve"> – um momento em que a unidade cultural e religiosa de Israel estava abalada.</w:t>
      </w:r>
    </w:p>
    <w:p w:rsidR="00AA3DC9" w:rsidRDefault="00AA3DC9" w:rsidP="00080A6F">
      <w:pPr>
        <w:spacing w:line="240" w:lineRule="auto"/>
        <w:jc w:val="both"/>
        <w:rPr>
          <w:rFonts w:ascii="Times New Roman" w:hAnsi="Times New Roman"/>
          <w:sz w:val="24"/>
          <w:szCs w:val="24"/>
        </w:rPr>
      </w:pPr>
    </w:p>
    <w:p w:rsidR="00AA3DC9" w:rsidRPr="00AA3DC9" w:rsidRDefault="00AA3DC9" w:rsidP="00080A6F">
      <w:pPr>
        <w:pStyle w:val="PargrafodaLista"/>
        <w:numPr>
          <w:ilvl w:val="0"/>
          <w:numId w:val="2"/>
        </w:numPr>
        <w:spacing w:line="240" w:lineRule="auto"/>
        <w:jc w:val="both"/>
        <w:rPr>
          <w:rFonts w:ascii="Times New Roman" w:hAnsi="Times New Roman"/>
          <w:b/>
          <w:sz w:val="24"/>
          <w:szCs w:val="24"/>
        </w:rPr>
      </w:pPr>
      <w:r w:rsidRPr="00AA3DC9">
        <w:rPr>
          <w:rFonts w:ascii="Times New Roman" w:hAnsi="Times New Roman"/>
          <w:b/>
          <w:sz w:val="24"/>
          <w:szCs w:val="24"/>
        </w:rPr>
        <w:t>As características do texto escrito</w:t>
      </w:r>
    </w:p>
    <w:p w:rsidR="00430662" w:rsidRPr="002571E5" w:rsidRDefault="00430662" w:rsidP="00080A6F">
      <w:pPr>
        <w:spacing w:line="240" w:lineRule="auto"/>
        <w:ind w:firstLine="708"/>
        <w:jc w:val="both"/>
        <w:rPr>
          <w:rFonts w:ascii="Times New Roman" w:hAnsi="Times New Roman"/>
          <w:sz w:val="24"/>
          <w:szCs w:val="24"/>
        </w:rPr>
      </w:pPr>
      <w:r w:rsidRPr="002571E5">
        <w:rPr>
          <w:rFonts w:ascii="Times New Roman" w:hAnsi="Times New Roman"/>
          <w:sz w:val="24"/>
          <w:szCs w:val="24"/>
        </w:rPr>
        <w:t xml:space="preserve"> Mas muito também pode nos ser dito através dos momentos de mudanças importantes dos meios de </w:t>
      </w:r>
      <w:r w:rsidRPr="002571E5">
        <w:rPr>
          <w:rFonts w:ascii="Times New Roman" w:hAnsi="Times New Roman"/>
          <w:b/>
          <w:sz w:val="24"/>
          <w:szCs w:val="24"/>
        </w:rPr>
        <w:t>transmissão escrita</w:t>
      </w:r>
      <w:r w:rsidRPr="002571E5">
        <w:rPr>
          <w:rFonts w:ascii="Times New Roman" w:hAnsi="Times New Roman"/>
          <w:sz w:val="24"/>
          <w:szCs w:val="24"/>
        </w:rPr>
        <w:t>; “estes momentos críticos correspondem a períodos de renovação e de renascimento cultural”</w:t>
      </w:r>
      <w:r w:rsidR="00D525DB">
        <w:rPr>
          <w:rFonts w:ascii="Times New Roman" w:hAnsi="Times New Roman"/>
          <w:sz w:val="24"/>
          <w:szCs w:val="24"/>
        </w:rPr>
        <w:t xml:space="preserve"> </w:t>
      </w:r>
      <w:r w:rsidR="00D525DB" w:rsidRPr="002F6E5D">
        <w:rPr>
          <w:rFonts w:ascii="Times New Roman" w:hAnsi="Times New Roman"/>
          <w:sz w:val="24"/>
          <w:szCs w:val="24"/>
        </w:rPr>
        <w:t>(</w:t>
      </w:r>
      <w:r w:rsidR="002F6E5D" w:rsidRPr="002F6E5D">
        <w:rPr>
          <w:rFonts w:ascii="Times New Roman" w:hAnsi="Times New Roman"/>
          <w:sz w:val="24"/>
          <w:szCs w:val="24"/>
        </w:rPr>
        <w:t>BARRERA, 1999:112-113)</w:t>
      </w:r>
      <w:r w:rsidRPr="002571E5">
        <w:rPr>
          <w:rFonts w:ascii="Times New Roman" w:hAnsi="Times New Roman"/>
          <w:sz w:val="24"/>
          <w:szCs w:val="24"/>
        </w:rPr>
        <w:t xml:space="preserve">. Não temos informações sobre a época em que Israel substituiu o uso de tabuletas, semelhantes às utilizadas na escrita cuneiforme mesopotâmica, pelo uso de papiro. Através das mudanças ocorridas posteriormente, podemos supor que, de forma semelhante, essa mudança ocasionou alterações no processo de formação e transmissão dos textos bíblicos, pois, durante essas transições, textos são perdidos. Já a passagem do papiro para o pergaminho, um material mais resistente, deu-se no início do período persa (538-325 </w:t>
      </w:r>
      <w:proofErr w:type="spellStart"/>
      <w:proofErr w:type="gramStart"/>
      <w:r w:rsidRPr="002571E5">
        <w:rPr>
          <w:rFonts w:ascii="Times New Roman" w:hAnsi="Times New Roman"/>
          <w:sz w:val="24"/>
          <w:szCs w:val="24"/>
        </w:rPr>
        <w:t>a.E.C.</w:t>
      </w:r>
      <w:proofErr w:type="spellEnd"/>
      <w:proofErr w:type="gramEnd"/>
      <w:r w:rsidRPr="002571E5">
        <w:rPr>
          <w:rFonts w:ascii="Times New Roman" w:hAnsi="Times New Roman"/>
          <w:sz w:val="24"/>
          <w:szCs w:val="24"/>
        </w:rPr>
        <w:t>), no pós-exílio, época em que se deu início à canonização</w:t>
      </w:r>
      <w:r w:rsidR="002F6E5D">
        <w:rPr>
          <w:rStyle w:val="Refdenotadefim"/>
          <w:rFonts w:ascii="Times New Roman" w:hAnsi="Times New Roman"/>
          <w:sz w:val="24"/>
          <w:szCs w:val="24"/>
        </w:rPr>
        <w:endnoteReference w:id="4"/>
      </w:r>
      <w:r w:rsidRPr="002571E5">
        <w:rPr>
          <w:rFonts w:ascii="Times New Roman" w:hAnsi="Times New Roman"/>
          <w:sz w:val="24"/>
          <w:szCs w:val="24"/>
        </w:rPr>
        <w:t xml:space="preserve"> da literatura bíblica</w:t>
      </w:r>
      <w:r w:rsidR="002F6E5D">
        <w:rPr>
          <w:rStyle w:val="Refdenotadefim"/>
          <w:rFonts w:ascii="Times New Roman" w:hAnsi="Times New Roman"/>
          <w:sz w:val="24"/>
          <w:szCs w:val="24"/>
        </w:rPr>
        <w:endnoteReference w:id="5"/>
      </w:r>
      <w:r w:rsidRPr="002571E5">
        <w:rPr>
          <w:rFonts w:ascii="Times New Roman" w:hAnsi="Times New Roman"/>
          <w:sz w:val="24"/>
          <w:szCs w:val="24"/>
        </w:rPr>
        <w:t>.</w:t>
      </w:r>
    </w:p>
    <w:p w:rsidR="00430662" w:rsidRDefault="00430662" w:rsidP="00080A6F">
      <w:pPr>
        <w:spacing w:line="240" w:lineRule="auto"/>
        <w:jc w:val="both"/>
        <w:rPr>
          <w:rFonts w:ascii="Times New Roman" w:hAnsi="Times New Roman"/>
          <w:sz w:val="24"/>
          <w:szCs w:val="24"/>
        </w:rPr>
      </w:pPr>
      <w:r w:rsidRPr="002571E5">
        <w:rPr>
          <w:rFonts w:ascii="Times New Roman" w:hAnsi="Times New Roman"/>
          <w:sz w:val="24"/>
          <w:szCs w:val="24"/>
        </w:rPr>
        <w:tab/>
        <w:t xml:space="preserve">Cabe ainda ressaltar </w:t>
      </w:r>
      <w:r w:rsidR="00C6281F">
        <w:rPr>
          <w:rFonts w:ascii="Times New Roman" w:hAnsi="Times New Roman"/>
          <w:sz w:val="24"/>
          <w:szCs w:val="24"/>
        </w:rPr>
        <w:t xml:space="preserve">que </w:t>
      </w:r>
      <w:r w:rsidRPr="002571E5">
        <w:rPr>
          <w:rFonts w:ascii="Times New Roman" w:hAnsi="Times New Roman"/>
          <w:sz w:val="24"/>
          <w:szCs w:val="24"/>
        </w:rPr>
        <w:t>nosso objeto de estudo pede uma análise com características peculiares; para isso, precisamos recorrer ao estudo exegético</w:t>
      </w:r>
      <w:r w:rsidR="002F6E5D">
        <w:rPr>
          <w:rStyle w:val="Refdenotadefim"/>
          <w:rFonts w:ascii="Times New Roman" w:hAnsi="Times New Roman"/>
          <w:sz w:val="24"/>
          <w:szCs w:val="24"/>
        </w:rPr>
        <w:endnoteReference w:id="6"/>
      </w:r>
      <w:r w:rsidR="0058317B">
        <w:rPr>
          <w:rFonts w:ascii="Times New Roman" w:hAnsi="Times New Roman"/>
          <w:sz w:val="24"/>
          <w:szCs w:val="24"/>
        </w:rPr>
        <w:t xml:space="preserve"> judaico</w:t>
      </w:r>
      <w:r w:rsidRPr="002571E5">
        <w:rPr>
          <w:rFonts w:ascii="Times New Roman" w:hAnsi="Times New Roman"/>
          <w:sz w:val="24"/>
          <w:szCs w:val="24"/>
        </w:rPr>
        <w:t xml:space="preserve">. “Os alexandrinos podiam dizer que Homero se interpretava por Homero. Não é menos certo que os livros da Escritura se interpretam uns aos outros e que a Escritura é a </w:t>
      </w:r>
      <w:r w:rsidR="002F6E5D">
        <w:rPr>
          <w:rFonts w:ascii="Times New Roman" w:hAnsi="Times New Roman"/>
          <w:sz w:val="24"/>
          <w:szCs w:val="24"/>
        </w:rPr>
        <w:t>primeira intérprete de si mesma</w:t>
      </w:r>
      <w:r w:rsidRPr="002571E5">
        <w:rPr>
          <w:rFonts w:ascii="Times New Roman" w:hAnsi="Times New Roman"/>
          <w:sz w:val="24"/>
          <w:szCs w:val="24"/>
        </w:rPr>
        <w:t>”</w:t>
      </w:r>
      <w:r w:rsidR="002F6E5D">
        <w:rPr>
          <w:rFonts w:ascii="Times New Roman" w:hAnsi="Times New Roman"/>
          <w:sz w:val="24"/>
          <w:szCs w:val="24"/>
        </w:rPr>
        <w:t xml:space="preserve"> </w:t>
      </w:r>
      <w:r w:rsidR="002F6E5D" w:rsidRPr="002F6E5D">
        <w:rPr>
          <w:rFonts w:ascii="Times New Roman" w:hAnsi="Times New Roman"/>
          <w:sz w:val="24"/>
          <w:szCs w:val="24"/>
        </w:rPr>
        <w:t>(</w:t>
      </w:r>
      <w:r w:rsidR="0074535D">
        <w:rPr>
          <w:rFonts w:ascii="Times New Roman" w:hAnsi="Times New Roman"/>
          <w:sz w:val="24"/>
          <w:szCs w:val="24"/>
        </w:rPr>
        <w:t xml:space="preserve">Ibid., </w:t>
      </w:r>
      <w:r w:rsidR="002F6E5D" w:rsidRPr="002F6E5D">
        <w:rPr>
          <w:rFonts w:ascii="Times New Roman" w:hAnsi="Times New Roman"/>
          <w:sz w:val="24"/>
          <w:szCs w:val="24"/>
        </w:rPr>
        <w:t>513).</w:t>
      </w:r>
      <w:r w:rsidRPr="002571E5">
        <w:rPr>
          <w:rFonts w:ascii="Times New Roman" w:hAnsi="Times New Roman"/>
          <w:sz w:val="24"/>
          <w:szCs w:val="24"/>
        </w:rPr>
        <w:t xml:space="preserve"> Desta forma é feita a exegese judaica dos textos bíblicos: eles interpretam a si mesmos, onde uma lei, ou uma recomendação é reelaborada posteriormente de forma a ser aplicável ao momento ou a uma situação premente. </w:t>
      </w:r>
    </w:p>
    <w:p w:rsidR="0058317B" w:rsidRPr="002571E5" w:rsidRDefault="0058317B" w:rsidP="00080A6F">
      <w:pPr>
        <w:spacing w:line="240" w:lineRule="auto"/>
        <w:jc w:val="both"/>
        <w:rPr>
          <w:rFonts w:ascii="Times New Roman" w:hAnsi="Times New Roman"/>
          <w:sz w:val="24"/>
          <w:szCs w:val="24"/>
        </w:rPr>
      </w:pPr>
    </w:p>
    <w:p w:rsidR="00430662" w:rsidRPr="00C2385B" w:rsidRDefault="00430662" w:rsidP="00080A6F">
      <w:pPr>
        <w:spacing w:line="240" w:lineRule="auto"/>
        <w:ind w:left="2268"/>
        <w:jc w:val="both"/>
        <w:rPr>
          <w:rFonts w:ascii="Times New Roman" w:hAnsi="Times New Roman"/>
          <w:sz w:val="20"/>
          <w:szCs w:val="20"/>
        </w:rPr>
      </w:pPr>
      <w:r w:rsidRPr="00C2385B">
        <w:rPr>
          <w:rFonts w:ascii="Times New Roman" w:hAnsi="Times New Roman"/>
          <w:sz w:val="20"/>
          <w:szCs w:val="20"/>
        </w:rPr>
        <w:t>As Escrituras bíblicas, como toda literatura e mais do que qualquer literatura, são um contínuo reescrever o que já foi escrito. A Bíblia não é somente seus textos, senão também as citações, alusões e ecos de seus livros em outros textos (intertextualidade), que por sua vez permitem desc</w:t>
      </w:r>
      <w:r w:rsidR="002F6E5D" w:rsidRPr="00C2385B">
        <w:rPr>
          <w:rFonts w:ascii="Times New Roman" w:hAnsi="Times New Roman"/>
          <w:sz w:val="20"/>
          <w:szCs w:val="20"/>
        </w:rPr>
        <w:t>obrir novos aspectos do próprio</w:t>
      </w:r>
      <w:r w:rsidRPr="00C2385B">
        <w:rPr>
          <w:rFonts w:ascii="Times New Roman" w:hAnsi="Times New Roman"/>
          <w:sz w:val="20"/>
          <w:szCs w:val="20"/>
        </w:rPr>
        <w:t xml:space="preserve"> texto bíblico</w:t>
      </w:r>
      <w:r w:rsidR="002F6E5D" w:rsidRPr="00C2385B">
        <w:rPr>
          <w:rFonts w:ascii="Times New Roman" w:hAnsi="Times New Roman"/>
          <w:sz w:val="20"/>
          <w:szCs w:val="20"/>
        </w:rPr>
        <w:t xml:space="preserve"> (BARRERA, 1999:60)</w:t>
      </w:r>
      <w:r w:rsidRPr="00C2385B">
        <w:rPr>
          <w:rFonts w:ascii="Times New Roman" w:hAnsi="Times New Roman"/>
          <w:sz w:val="20"/>
          <w:szCs w:val="20"/>
        </w:rPr>
        <w:t>.</w:t>
      </w:r>
    </w:p>
    <w:p w:rsidR="0058317B" w:rsidRPr="002571E5" w:rsidRDefault="0058317B" w:rsidP="00080A6F">
      <w:pPr>
        <w:spacing w:line="240" w:lineRule="auto"/>
        <w:ind w:left="1418"/>
        <w:jc w:val="both"/>
        <w:rPr>
          <w:rFonts w:ascii="Times New Roman" w:hAnsi="Times New Roman"/>
        </w:rPr>
      </w:pPr>
    </w:p>
    <w:p w:rsidR="00E96CA8" w:rsidRDefault="00430662" w:rsidP="00E96CA8">
      <w:pPr>
        <w:spacing w:line="240" w:lineRule="auto"/>
        <w:ind w:firstLine="708"/>
        <w:jc w:val="both"/>
        <w:rPr>
          <w:rFonts w:ascii="Times New Roman" w:hAnsi="Times New Roman"/>
          <w:sz w:val="24"/>
          <w:szCs w:val="24"/>
        </w:rPr>
      </w:pPr>
      <w:r w:rsidRPr="002571E5">
        <w:rPr>
          <w:rFonts w:ascii="Times New Roman" w:hAnsi="Times New Roman"/>
          <w:sz w:val="24"/>
          <w:szCs w:val="24"/>
        </w:rPr>
        <w:t xml:space="preserve">Os métodos de exegese rabínica já se encontram presentes mesmo no Primeiro Testamento (ou Antigo Testamento), ainda que de forma rudimentar; em seus livros podemos identificar procedimentos interpretativos como o </w:t>
      </w:r>
      <w:proofErr w:type="spellStart"/>
      <w:r w:rsidRPr="002571E5">
        <w:rPr>
          <w:rFonts w:ascii="Times New Roman" w:hAnsi="Times New Roman"/>
          <w:i/>
          <w:sz w:val="24"/>
          <w:szCs w:val="24"/>
        </w:rPr>
        <w:t>peshat</w:t>
      </w:r>
      <w:proofErr w:type="spellEnd"/>
      <w:r w:rsidRPr="002571E5">
        <w:rPr>
          <w:rFonts w:ascii="Times New Roman" w:hAnsi="Times New Roman"/>
          <w:sz w:val="24"/>
          <w:szCs w:val="24"/>
        </w:rPr>
        <w:t xml:space="preserve">, dedicado a explicar as dificuldades do texto bíblico, e o </w:t>
      </w:r>
      <w:proofErr w:type="spellStart"/>
      <w:r w:rsidRPr="002571E5">
        <w:rPr>
          <w:rFonts w:ascii="Times New Roman" w:hAnsi="Times New Roman"/>
          <w:i/>
          <w:sz w:val="24"/>
          <w:szCs w:val="24"/>
        </w:rPr>
        <w:t>derash</w:t>
      </w:r>
      <w:proofErr w:type="spellEnd"/>
      <w:r w:rsidRPr="002571E5">
        <w:rPr>
          <w:rFonts w:ascii="Times New Roman" w:hAnsi="Times New Roman"/>
          <w:sz w:val="24"/>
          <w:szCs w:val="24"/>
        </w:rPr>
        <w:t>, que procura fundamentações nas Escrituras para estabelecer normas legais não constantes na Torá, ou para desenvolver temas ou ensinamentos morais que podem ser encontrados ao longo do texto</w:t>
      </w:r>
      <w:r w:rsidR="002F6E5D">
        <w:rPr>
          <w:rFonts w:ascii="Times New Roman" w:hAnsi="Times New Roman"/>
          <w:sz w:val="24"/>
          <w:szCs w:val="24"/>
        </w:rPr>
        <w:t xml:space="preserve"> </w:t>
      </w:r>
      <w:r w:rsidR="002F6E5D" w:rsidRPr="002F6E5D">
        <w:rPr>
          <w:rFonts w:ascii="Times New Roman" w:hAnsi="Times New Roman"/>
          <w:sz w:val="24"/>
          <w:szCs w:val="24"/>
        </w:rPr>
        <w:t>(</w:t>
      </w:r>
      <w:r w:rsidR="002F6E5D">
        <w:rPr>
          <w:rFonts w:ascii="Times New Roman" w:hAnsi="Times New Roman"/>
          <w:sz w:val="24"/>
          <w:szCs w:val="24"/>
        </w:rPr>
        <w:t>Ibid.</w:t>
      </w:r>
      <w:r w:rsidR="002F6E5D" w:rsidRPr="002F6E5D">
        <w:rPr>
          <w:rFonts w:ascii="Times New Roman" w:hAnsi="Times New Roman"/>
          <w:sz w:val="24"/>
          <w:szCs w:val="24"/>
        </w:rPr>
        <w:t>, 514)</w:t>
      </w:r>
      <w:r w:rsidRPr="002571E5">
        <w:rPr>
          <w:rFonts w:ascii="Times New Roman" w:hAnsi="Times New Roman"/>
          <w:sz w:val="24"/>
          <w:szCs w:val="24"/>
        </w:rPr>
        <w:t>.</w:t>
      </w:r>
      <w:r w:rsidRPr="002571E5">
        <w:rPr>
          <w:rFonts w:ascii="Times New Roman" w:hAnsi="Times New Roman"/>
          <w:sz w:val="24"/>
          <w:szCs w:val="24"/>
        </w:rPr>
        <w:tab/>
        <w:t>Desta</w:t>
      </w:r>
      <w:r w:rsidR="00E96CA8">
        <w:rPr>
          <w:rFonts w:ascii="Times New Roman" w:hAnsi="Times New Roman"/>
          <w:sz w:val="24"/>
          <w:szCs w:val="24"/>
        </w:rPr>
        <w:t xml:space="preserve"> forma</w:t>
      </w:r>
      <w:r w:rsidRPr="002571E5">
        <w:rPr>
          <w:rFonts w:ascii="Times New Roman" w:hAnsi="Times New Roman"/>
          <w:sz w:val="24"/>
          <w:szCs w:val="24"/>
        </w:rPr>
        <w:t xml:space="preserve">, podemos notar que o procedimento interpretativo, embora tenha se sofisticado com o tempo, manteve-se essencialmente o mesmo quando se trata da exegese da literatura bíblica. </w:t>
      </w:r>
    </w:p>
    <w:p w:rsidR="00E96CA8" w:rsidRDefault="00E96CA8" w:rsidP="00E96CA8">
      <w:pPr>
        <w:spacing w:line="240" w:lineRule="auto"/>
        <w:ind w:firstLine="708"/>
        <w:jc w:val="both"/>
        <w:rPr>
          <w:rFonts w:ascii="Times New Roman" w:hAnsi="Times New Roman"/>
          <w:sz w:val="24"/>
          <w:szCs w:val="24"/>
        </w:rPr>
      </w:pPr>
    </w:p>
    <w:p w:rsidR="00E96CA8" w:rsidRDefault="00E96CA8" w:rsidP="00E96CA8">
      <w:pPr>
        <w:spacing w:line="240" w:lineRule="auto"/>
        <w:ind w:firstLine="708"/>
        <w:jc w:val="both"/>
        <w:rPr>
          <w:rFonts w:ascii="Times New Roman" w:hAnsi="Times New Roman"/>
          <w:sz w:val="24"/>
          <w:szCs w:val="24"/>
        </w:rPr>
      </w:pPr>
    </w:p>
    <w:p w:rsidR="0058317B" w:rsidRPr="00E96CA8" w:rsidRDefault="0058317B" w:rsidP="00E96CA8">
      <w:pPr>
        <w:pStyle w:val="PargrafodaLista"/>
        <w:numPr>
          <w:ilvl w:val="0"/>
          <w:numId w:val="2"/>
        </w:numPr>
        <w:spacing w:line="240" w:lineRule="auto"/>
        <w:jc w:val="both"/>
        <w:rPr>
          <w:rFonts w:ascii="Times New Roman" w:hAnsi="Times New Roman"/>
          <w:b/>
          <w:sz w:val="24"/>
          <w:szCs w:val="24"/>
        </w:rPr>
      </w:pPr>
      <w:r w:rsidRPr="00E96CA8">
        <w:rPr>
          <w:rFonts w:ascii="Times New Roman" w:hAnsi="Times New Roman"/>
          <w:b/>
          <w:sz w:val="24"/>
          <w:szCs w:val="24"/>
        </w:rPr>
        <w:lastRenderedPageBreak/>
        <w:t>As Escrituras no I século da Era Cristã</w:t>
      </w:r>
    </w:p>
    <w:p w:rsidR="00430662" w:rsidRPr="002571E5" w:rsidRDefault="00430662" w:rsidP="00080A6F">
      <w:pPr>
        <w:spacing w:line="240" w:lineRule="auto"/>
        <w:ind w:firstLine="709"/>
        <w:jc w:val="both"/>
        <w:rPr>
          <w:rFonts w:ascii="Times New Roman" w:hAnsi="Times New Roman"/>
          <w:sz w:val="24"/>
          <w:szCs w:val="24"/>
        </w:rPr>
      </w:pPr>
      <w:r w:rsidRPr="002571E5">
        <w:rPr>
          <w:rFonts w:ascii="Times New Roman" w:hAnsi="Times New Roman"/>
          <w:sz w:val="24"/>
          <w:szCs w:val="24"/>
        </w:rPr>
        <w:t xml:space="preserve">A Jerusalém do primeiro século estava numa profunda crise de princípios filosóficos, porém com um claro e impactante viés social. Poderíamos afirmar que a cultura romana, com forte influência grega, compreendia a justiça tal qual Aristóteles: a verdadeira justiça implicava </w:t>
      </w:r>
      <w:r w:rsidRPr="002571E5">
        <w:rPr>
          <w:rFonts w:ascii="Times New Roman" w:hAnsi="Times New Roman"/>
          <w:b/>
          <w:bCs/>
          <w:iCs/>
          <w:sz w:val="24"/>
          <w:szCs w:val="24"/>
        </w:rPr>
        <w:t>des</w:t>
      </w:r>
      <w:r w:rsidRPr="002571E5">
        <w:rPr>
          <w:rFonts w:ascii="Times New Roman" w:hAnsi="Times New Roman"/>
          <w:sz w:val="24"/>
          <w:szCs w:val="24"/>
        </w:rPr>
        <w:t xml:space="preserve">igualdade. Como resumiu </w:t>
      </w:r>
      <w:proofErr w:type="spellStart"/>
      <w:r w:rsidRPr="002571E5">
        <w:rPr>
          <w:rFonts w:ascii="Times New Roman" w:hAnsi="Times New Roman"/>
          <w:sz w:val="24"/>
          <w:szCs w:val="24"/>
        </w:rPr>
        <w:t>Moses</w:t>
      </w:r>
      <w:proofErr w:type="spellEnd"/>
      <w:r w:rsidRPr="002571E5">
        <w:rPr>
          <w:rFonts w:ascii="Times New Roman" w:hAnsi="Times New Roman"/>
          <w:sz w:val="24"/>
          <w:szCs w:val="24"/>
        </w:rPr>
        <w:t xml:space="preserve"> </w:t>
      </w:r>
      <w:proofErr w:type="spellStart"/>
      <w:r w:rsidRPr="002571E5">
        <w:rPr>
          <w:rFonts w:ascii="Times New Roman" w:hAnsi="Times New Roman"/>
          <w:sz w:val="24"/>
          <w:szCs w:val="24"/>
        </w:rPr>
        <w:t>Finley</w:t>
      </w:r>
      <w:proofErr w:type="spellEnd"/>
      <w:r w:rsidRPr="002571E5">
        <w:rPr>
          <w:rFonts w:ascii="Times New Roman" w:hAnsi="Times New Roman"/>
          <w:sz w:val="24"/>
          <w:szCs w:val="24"/>
        </w:rPr>
        <w:t>: “A distribuição de quinhões iguais entre pessoas desiguais seria injusta. O princípio da justiça distributiva é, portanto, equilibrar esse quinhão com o valor da pessoa”</w:t>
      </w:r>
      <w:r w:rsidR="002F6E5D">
        <w:rPr>
          <w:rFonts w:ascii="Times New Roman" w:hAnsi="Times New Roman"/>
          <w:sz w:val="24"/>
          <w:szCs w:val="24"/>
        </w:rPr>
        <w:t xml:space="preserve"> </w:t>
      </w:r>
      <w:r w:rsidR="002F6E5D" w:rsidRPr="002F6E5D">
        <w:rPr>
          <w:rFonts w:ascii="Times New Roman" w:hAnsi="Times New Roman"/>
          <w:sz w:val="24"/>
          <w:szCs w:val="24"/>
        </w:rPr>
        <w:t>(FINLEY, 1970:29)</w:t>
      </w:r>
      <w:r w:rsidRPr="002571E5">
        <w:rPr>
          <w:rFonts w:ascii="Times New Roman" w:hAnsi="Times New Roman"/>
          <w:sz w:val="24"/>
          <w:szCs w:val="24"/>
        </w:rPr>
        <w:t xml:space="preserve">. Cabe ressaltar que a sociedade grega fundamentava-se na escravidão, considerando natural, portanto, a desigualdade entre os homens e seu poder de trabalho. </w:t>
      </w:r>
      <w:proofErr w:type="spellStart"/>
      <w:r w:rsidRPr="002571E5">
        <w:rPr>
          <w:rFonts w:ascii="Times New Roman" w:hAnsi="Times New Roman"/>
          <w:sz w:val="24"/>
          <w:szCs w:val="24"/>
        </w:rPr>
        <w:t>Finley</w:t>
      </w:r>
      <w:proofErr w:type="spellEnd"/>
      <w:r w:rsidRPr="002571E5">
        <w:rPr>
          <w:rFonts w:ascii="Times New Roman" w:hAnsi="Times New Roman"/>
          <w:sz w:val="24"/>
          <w:szCs w:val="24"/>
        </w:rPr>
        <w:t xml:space="preserve"> complementa: “Que a desigualdade natural é fundamental para o pensamento aristotélico está fora de discussão: ela impregna sua análise da amizade na </w:t>
      </w:r>
      <w:r w:rsidRPr="002571E5">
        <w:rPr>
          <w:rFonts w:ascii="Times New Roman" w:hAnsi="Times New Roman"/>
          <w:b/>
          <w:bCs/>
          <w:iCs/>
          <w:sz w:val="24"/>
          <w:szCs w:val="24"/>
        </w:rPr>
        <w:t>Ética</w:t>
      </w:r>
      <w:r w:rsidRPr="002571E5">
        <w:rPr>
          <w:rFonts w:ascii="Times New Roman" w:hAnsi="Times New Roman"/>
          <w:sz w:val="24"/>
          <w:szCs w:val="24"/>
        </w:rPr>
        <w:t xml:space="preserve"> e da escravidão na </w:t>
      </w:r>
      <w:r w:rsidRPr="002571E5">
        <w:rPr>
          <w:rFonts w:ascii="Times New Roman" w:hAnsi="Times New Roman"/>
          <w:b/>
          <w:bCs/>
          <w:iCs/>
          <w:sz w:val="24"/>
          <w:szCs w:val="24"/>
        </w:rPr>
        <w:t>Política</w:t>
      </w:r>
      <w:r w:rsidRPr="002571E5">
        <w:rPr>
          <w:rFonts w:ascii="Times New Roman" w:hAnsi="Times New Roman"/>
          <w:sz w:val="24"/>
          <w:szCs w:val="24"/>
        </w:rPr>
        <w:t>”</w:t>
      </w:r>
      <w:r w:rsidR="002F6E5D">
        <w:rPr>
          <w:rFonts w:ascii="Times New Roman" w:hAnsi="Times New Roman"/>
          <w:sz w:val="24"/>
          <w:szCs w:val="24"/>
        </w:rPr>
        <w:t xml:space="preserve"> </w:t>
      </w:r>
      <w:r w:rsidR="002F6E5D" w:rsidRPr="000C4B04">
        <w:rPr>
          <w:rFonts w:ascii="Times New Roman" w:hAnsi="Times New Roman"/>
          <w:sz w:val="24"/>
          <w:szCs w:val="24"/>
        </w:rPr>
        <w:t>(Ibid., 38)</w:t>
      </w:r>
      <w:r w:rsidRPr="002571E5">
        <w:rPr>
          <w:rFonts w:ascii="Times New Roman" w:hAnsi="Times New Roman"/>
          <w:sz w:val="24"/>
          <w:szCs w:val="24"/>
        </w:rPr>
        <w:t>.</w:t>
      </w:r>
    </w:p>
    <w:p w:rsidR="00430662" w:rsidRDefault="00430662" w:rsidP="00080A6F">
      <w:pPr>
        <w:spacing w:line="240" w:lineRule="auto"/>
        <w:ind w:firstLine="709"/>
        <w:jc w:val="both"/>
        <w:rPr>
          <w:rFonts w:ascii="Times New Roman" w:hAnsi="Times New Roman"/>
          <w:sz w:val="24"/>
          <w:szCs w:val="24"/>
        </w:rPr>
      </w:pPr>
      <w:proofErr w:type="spellStart"/>
      <w:r w:rsidRPr="002571E5">
        <w:rPr>
          <w:rFonts w:ascii="Times New Roman" w:hAnsi="Times New Roman"/>
          <w:sz w:val="24"/>
          <w:szCs w:val="24"/>
        </w:rPr>
        <w:t>Crossan</w:t>
      </w:r>
      <w:proofErr w:type="spellEnd"/>
      <w:r w:rsidRPr="002571E5">
        <w:rPr>
          <w:rFonts w:ascii="Times New Roman" w:hAnsi="Times New Roman"/>
          <w:sz w:val="24"/>
          <w:szCs w:val="24"/>
        </w:rPr>
        <w:t xml:space="preserve"> dedica todo um capítulo em seu livro </w:t>
      </w:r>
      <w:r w:rsidRPr="002571E5">
        <w:rPr>
          <w:rFonts w:ascii="Times New Roman" w:hAnsi="Times New Roman"/>
          <w:b/>
          <w:sz w:val="24"/>
          <w:szCs w:val="24"/>
        </w:rPr>
        <w:t>O nascimento do Cristianismo</w:t>
      </w:r>
      <w:r w:rsidRPr="002571E5">
        <w:rPr>
          <w:rFonts w:ascii="Times New Roman" w:hAnsi="Times New Roman"/>
          <w:sz w:val="24"/>
          <w:szCs w:val="24"/>
        </w:rPr>
        <w:t xml:space="preserve"> para tratar a questão político-social que, por fim, resultou na revolta de 66. Não nos alongaremos sobre esse assunto; já vimos como </w:t>
      </w:r>
      <w:r w:rsidR="002849EC">
        <w:rPr>
          <w:rFonts w:ascii="Times New Roman" w:hAnsi="Times New Roman"/>
          <w:sz w:val="24"/>
          <w:szCs w:val="24"/>
        </w:rPr>
        <w:t>Aristóteles</w:t>
      </w:r>
      <w:r w:rsidRPr="002571E5">
        <w:rPr>
          <w:rFonts w:ascii="Times New Roman" w:hAnsi="Times New Roman"/>
          <w:sz w:val="24"/>
          <w:szCs w:val="24"/>
        </w:rPr>
        <w:t xml:space="preserve"> pensava a noção de “justiça”, noção essa bem próxima da que os romanos adotaram para si. Todavia, é importante notar que esta diferia muito da justiça compreendida pela tradição judaica. Nas palavras do próprio </w:t>
      </w:r>
      <w:proofErr w:type="spellStart"/>
      <w:r w:rsidRPr="002571E5">
        <w:rPr>
          <w:rFonts w:ascii="Times New Roman" w:hAnsi="Times New Roman"/>
          <w:sz w:val="24"/>
          <w:szCs w:val="24"/>
        </w:rPr>
        <w:t>Crossan</w:t>
      </w:r>
      <w:proofErr w:type="spellEnd"/>
      <w:r w:rsidRPr="002571E5">
        <w:rPr>
          <w:rFonts w:ascii="Times New Roman" w:hAnsi="Times New Roman"/>
          <w:sz w:val="24"/>
          <w:szCs w:val="24"/>
        </w:rPr>
        <w:t xml:space="preserve">: </w:t>
      </w:r>
    </w:p>
    <w:p w:rsidR="0058317B" w:rsidRPr="002571E5" w:rsidRDefault="0058317B" w:rsidP="00080A6F">
      <w:pPr>
        <w:spacing w:line="240" w:lineRule="auto"/>
        <w:ind w:firstLine="709"/>
        <w:jc w:val="both"/>
        <w:rPr>
          <w:rFonts w:ascii="Times New Roman" w:hAnsi="Times New Roman"/>
          <w:sz w:val="24"/>
          <w:szCs w:val="24"/>
        </w:rPr>
      </w:pPr>
    </w:p>
    <w:p w:rsidR="00430662" w:rsidRPr="00C2385B" w:rsidRDefault="00430662" w:rsidP="00080A6F">
      <w:pPr>
        <w:spacing w:line="240" w:lineRule="auto"/>
        <w:ind w:left="2268"/>
        <w:jc w:val="both"/>
        <w:rPr>
          <w:rFonts w:ascii="Times New Roman" w:hAnsi="Times New Roman"/>
          <w:sz w:val="20"/>
          <w:szCs w:val="20"/>
        </w:rPr>
      </w:pPr>
      <w:r w:rsidRPr="00C2385B">
        <w:rPr>
          <w:rFonts w:ascii="Times New Roman" w:hAnsi="Times New Roman"/>
          <w:sz w:val="20"/>
          <w:szCs w:val="20"/>
        </w:rPr>
        <w:t>Na lei sagrada, na crítica dos profetas e na sabedoria dos escribas, este Deus levantava-se contra a opressão e a exploração, contra o endividamento, a escravidão e a perda da propriedade, contra tudo que aumentasse a desigualdade e destruísse a igualdade. Como fundamento da vida, a terra não era simplesmente uma mercadoria para a manipulação empresarial comum: a terra pertencia a Deus; os membros do povo de Deus eram todos arrendatários da propriedade divina. Então surgiu o imperialismo romano, que procurava terra para exploração comercial e também expansão territorial. Era previsível que a tradição judaica se chocasse com a política romana. E se chocou, não só porque em geral os camponeses resistem à comercialização rural, mas também (e principalmente) porque os camponeses judeus tinham uma tradição longa e sagrada de tal resistência</w:t>
      </w:r>
      <w:r w:rsidR="000C4B04" w:rsidRPr="00C2385B">
        <w:rPr>
          <w:rFonts w:ascii="Times New Roman" w:hAnsi="Times New Roman"/>
          <w:sz w:val="20"/>
          <w:szCs w:val="20"/>
        </w:rPr>
        <w:t xml:space="preserve"> (CROSSAN, 2004:220)</w:t>
      </w:r>
      <w:r w:rsidRPr="00C2385B">
        <w:rPr>
          <w:rFonts w:ascii="Times New Roman" w:hAnsi="Times New Roman"/>
          <w:sz w:val="20"/>
          <w:szCs w:val="20"/>
        </w:rPr>
        <w:t>.</w:t>
      </w:r>
    </w:p>
    <w:p w:rsidR="00430662" w:rsidRPr="002571E5" w:rsidRDefault="00430662" w:rsidP="00080A6F">
      <w:pPr>
        <w:spacing w:line="240" w:lineRule="auto"/>
        <w:ind w:firstLine="709"/>
        <w:jc w:val="both"/>
        <w:rPr>
          <w:rFonts w:ascii="Times New Roman" w:hAnsi="Times New Roman"/>
          <w:sz w:val="24"/>
          <w:szCs w:val="24"/>
        </w:rPr>
      </w:pPr>
    </w:p>
    <w:p w:rsidR="00430662" w:rsidRPr="002571E5" w:rsidRDefault="00430662" w:rsidP="00080A6F">
      <w:pPr>
        <w:spacing w:line="240" w:lineRule="auto"/>
        <w:ind w:firstLine="709"/>
        <w:jc w:val="both"/>
        <w:rPr>
          <w:rFonts w:ascii="Times New Roman" w:hAnsi="Times New Roman"/>
          <w:sz w:val="24"/>
          <w:szCs w:val="24"/>
        </w:rPr>
      </w:pPr>
      <w:proofErr w:type="spellStart"/>
      <w:r w:rsidRPr="002571E5">
        <w:rPr>
          <w:rFonts w:ascii="Times New Roman" w:hAnsi="Times New Roman"/>
          <w:sz w:val="24"/>
          <w:szCs w:val="24"/>
        </w:rPr>
        <w:t>Crossan</w:t>
      </w:r>
      <w:proofErr w:type="spellEnd"/>
      <w:r w:rsidRPr="002571E5">
        <w:rPr>
          <w:rFonts w:ascii="Times New Roman" w:hAnsi="Times New Roman"/>
          <w:sz w:val="24"/>
          <w:szCs w:val="24"/>
        </w:rPr>
        <w:t xml:space="preserve"> faz ainda uma diferenciação entre o </w:t>
      </w:r>
      <w:r w:rsidRPr="002571E5">
        <w:rPr>
          <w:rFonts w:ascii="Times New Roman" w:hAnsi="Times New Roman"/>
          <w:b/>
          <w:bCs/>
          <w:sz w:val="24"/>
          <w:szCs w:val="24"/>
        </w:rPr>
        <w:t>tipo</w:t>
      </w:r>
      <w:r w:rsidRPr="002571E5">
        <w:rPr>
          <w:rFonts w:ascii="Times New Roman" w:hAnsi="Times New Roman"/>
          <w:sz w:val="24"/>
          <w:szCs w:val="24"/>
        </w:rPr>
        <w:t xml:space="preserve"> de império agrário exercido por Roma – que seria </w:t>
      </w:r>
      <w:r w:rsidRPr="002571E5">
        <w:rPr>
          <w:rFonts w:ascii="Times New Roman" w:hAnsi="Times New Roman"/>
          <w:b/>
          <w:bCs/>
          <w:sz w:val="24"/>
          <w:szCs w:val="24"/>
        </w:rPr>
        <w:t>mercantil</w:t>
      </w:r>
      <w:r w:rsidRPr="002571E5">
        <w:rPr>
          <w:rFonts w:ascii="Times New Roman" w:hAnsi="Times New Roman"/>
          <w:sz w:val="24"/>
          <w:szCs w:val="24"/>
        </w:rPr>
        <w:t xml:space="preserve"> – e aquele dos povos que dominaram a Palestina anteriormente – império agrário </w:t>
      </w:r>
      <w:r w:rsidRPr="002571E5">
        <w:rPr>
          <w:rFonts w:ascii="Times New Roman" w:hAnsi="Times New Roman"/>
          <w:b/>
          <w:bCs/>
          <w:sz w:val="24"/>
          <w:szCs w:val="24"/>
        </w:rPr>
        <w:t>tradicional</w:t>
      </w:r>
      <w:r w:rsidRPr="002571E5">
        <w:rPr>
          <w:rFonts w:ascii="Times New Roman" w:hAnsi="Times New Roman"/>
          <w:sz w:val="24"/>
          <w:szCs w:val="24"/>
        </w:rPr>
        <w:t xml:space="preserve"> –, o que </w:t>
      </w:r>
      <w:proofErr w:type="gramStart"/>
      <w:r w:rsidRPr="002571E5">
        <w:rPr>
          <w:rFonts w:ascii="Times New Roman" w:hAnsi="Times New Roman"/>
          <w:sz w:val="24"/>
          <w:szCs w:val="24"/>
        </w:rPr>
        <w:t>pode,</w:t>
      </w:r>
      <w:proofErr w:type="gramEnd"/>
      <w:r w:rsidRPr="002571E5">
        <w:rPr>
          <w:rFonts w:ascii="Times New Roman" w:hAnsi="Times New Roman"/>
          <w:sz w:val="24"/>
          <w:szCs w:val="24"/>
        </w:rPr>
        <w:t xml:space="preserve"> de certa forma, justificar todos os levantes judaicos contra o domínio romano, ao contrário da atitude assumida diante dos outros dominadores: “no império agrário tradicional, a aristocracia toma o </w:t>
      </w:r>
      <w:r w:rsidRPr="002571E5">
        <w:rPr>
          <w:rFonts w:ascii="Times New Roman" w:hAnsi="Times New Roman"/>
          <w:i/>
          <w:iCs/>
          <w:sz w:val="24"/>
          <w:szCs w:val="24"/>
        </w:rPr>
        <w:t>produto excedente</w:t>
      </w:r>
      <w:r w:rsidRPr="002571E5">
        <w:rPr>
          <w:rFonts w:ascii="Times New Roman" w:hAnsi="Times New Roman"/>
          <w:sz w:val="24"/>
          <w:szCs w:val="24"/>
        </w:rPr>
        <w:t xml:space="preserve"> da classe camponesa; no império agrário mercantil, a aristocracia toma a </w:t>
      </w:r>
      <w:r w:rsidRPr="002571E5">
        <w:rPr>
          <w:rFonts w:ascii="Times New Roman" w:hAnsi="Times New Roman"/>
          <w:i/>
          <w:iCs/>
          <w:sz w:val="24"/>
          <w:szCs w:val="24"/>
        </w:rPr>
        <w:t>terra</w:t>
      </w:r>
      <w:r w:rsidRPr="002571E5">
        <w:rPr>
          <w:rFonts w:ascii="Times New Roman" w:hAnsi="Times New Roman"/>
          <w:sz w:val="24"/>
          <w:szCs w:val="24"/>
        </w:rPr>
        <w:t xml:space="preserve"> da classe camponesa”</w:t>
      </w:r>
      <w:r w:rsidR="000C4B04">
        <w:rPr>
          <w:rFonts w:ascii="Times New Roman" w:hAnsi="Times New Roman"/>
          <w:sz w:val="24"/>
          <w:szCs w:val="24"/>
        </w:rPr>
        <w:t xml:space="preserve"> </w:t>
      </w:r>
      <w:r w:rsidR="000C4B04" w:rsidRPr="000C4B04">
        <w:rPr>
          <w:rFonts w:ascii="Times New Roman" w:hAnsi="Times New Roman"/>
          <w:sz w:val="24"/>
          <w:szCs w:val="24"/>
        </w:rPr>
        <w:t>(Ib</w:t>
      </w:r>
      <w:r w:rsidR="000C4B04">
        <w:rPr>
          <w:rFonts w:ascii="Times New Roman" w:hAnsi="Times New Roman"/>
          <w:sz w:val="24"/>
          <w:szCs w:val="24"/>
        </w:rPr>
        <w:t>i</w:t>
      </w:r>
      <w:r w:rsidR="000C4B04" w:rsidRPr="000C4B04">
        <w:rPr>
          <w:rFonts w:ascii="Times New Roman" w:hAnsi="Times New Roman"/>
          <w:sz w:val="24"/>
          <w:szCs w:val="24"/>
        </w:rPr>
        <w:t>d</w:t>
      </w:r>
      <w:r w:rsidR="000C4B04">
        <w:rPr>
          <w:rFonts w:ascii="Times New Roman" w:hAnsi="Times New Roman"/>
          <w:sz w:val="24"/>
          <w:szCs w:val="24"/>
        </w:rPr>
        <w:t>.</w:t>
      </w:r>
      <w:r w:rsidR="000C4B04" w:rsidRPr="000C4B04">
        <w:rPr>
          <w:rFonts w:ascii="Times New Roman" w:hAnsi="Times New Roman"/>
          <w:sz w:val="24"/>
          <w:szCs w:val="24"/>
        </w:rPr>
        <w:t>, 201, grifo do autor)</w:t>
      </w:r>
      <w:r w:rsidRPr="002571E5">
        <w:rPr>
          <w:rFonts w:ascii="Times New Roman" w:hAnsi="Times New Roman"/>
          <w:sz w:val="24"/>
          <w:szCs w:val="24"/>
        </w:rPr>
        <w:t xml:space="preserve">. Destarte, Shimon </w:t>
      </w:r>
      <w:proofErr w:type="spellStart"/>
      <w:r w:rsidRPr="002571E5">
        <w:rPr>
          <w:rFonts w:ascii="Times New Roman" w:hAnsi="Times New Roman"/>
          <w:sz w:val="24"/>
          <w:szCs w:val="24"/>
        </w:rPr>
        <w:t>Applebaum</w:t>
      </w:r>
      <w:proofErr w:type="spellEnd"/>
      <w:r w:rsidRPr="002571E5">
        <w:rPr>
          <w:rFonts w:ascii="Times New Roman" w:hAnsi="Times New Roman"/>
          <w:sz w:val="24"/>
          <w:szCs w:val="24"/>
        </w:rPr>
        <w:t xml:space="preserve"> traça a ponte entre essa resistência e a revolta que culminou com a queda do Templo e a Diáspora: “É bom mencionar que a resistência organizada que se tornou a força propulsora da revolta judaica de 66-74 originou-se de um conceito fortemente religioso e ético – que a terra pertencia à Divindade – a primeira declaração de fé protestante”</w:t>
      </w:r>
      <w:r w:rsidR="000C4B04">
        <w:rPr>
          <w:rFonts w:ascii="Times New Roman" w:hAnsi="Times New Roman"/>
          <w:sz w:val="24"/>
          <w:szCs w:val="24"/>
        </w:rPr>
        <w:t xml:space="preserve"> </w:t>
      </w:r>
      <w:r w:rsidR="000C4B04" w:rsidRPr="000C4B04">
        <w:rPr>
          <w:rFonts w:ascii="Times New Roman" w:hAnsi="Times New Roman"/>
          <w:sz w:val="24"/>
          <w:szCs w:val="24"/>
        </w:rPr>
        <w:t>(APPLEBAUM, 1989:256)</w:t>
      </w:r>
      <w:r w:rsidRPr="002571E5">
        <w:rPr>
          <w:rFonts w:ascii="Times New Roman" w:hAnsi="Times New Roman"/>
          <w:sz w:val="24"/>
          <w:szCs w:val="24"/>
        </w:rPr>
        <w:t>.</w:t>
      </w:r>
    </w:p>
    <w:p w:rsidR="00430662" w:rsidRPr="002571E5" w:rsidRDefault="00430662" w:rsidP="00080A6F">
      <w:pPr>
        <w:spacing w:line="240" w:lineRule="auto"/>
        <w:jc w:val="both"/>
        <w:rPr>
          <w:rFonts w:ascii="Times New Roman" w:hAnsi="Times New Roman"/>
          <w:sz w:val="24"/>
          <w:szCs w:val="24"/>
        </w:rPr>
      </w:pPr>
      <w:r w:rsidRPr="002571E5">
        <w:rPr>
          <w:rFonts w:ascii="Times New Roman" w:hAnsi="Times New Roman"/>
          <w:sz w:val="24"/>
          <w:szCs w:val="24"/>
        </w:rPr>
        <w:tab/>
        <w:t>Além dessa efervescência político-social, a religiosidade constituía-se em um mosaico de grupos e tendências diversas</w:t>
      </w:r>
      <w:r w:rsidR="000C4B04">
        <w:rPr>
          <w:rFonts w:ascii="Times New Roman" w:hAnsi="Times New Roman"/>
          <w:sz w:val="24"/>
          <w:szCs w:val="24"/>
        </w:rPr>
        <w:t xml:space="preserve"> </w:t>
      </w:r>
      <w:r w:rsidR="000C4B04" w:rsidRPr="000C4B04">
        <w:rPr>
          <w:rFonts w:ascii="Times New Roman" w:hAnsi="Times New Roman"/>
          <w:sz w:val="24"/>
          <w:szCs w:val="24"/>
        </w:rPr>
        <w:t>(BARRERA, 1999:48)</w:t>
      </w:r>
      <w:r w:rsidRPr="002571E5">
        <w:rPr>
          <w:rFonts w:ascii="Times New Roman" w:hAnsi="Times New Roman"/>
          <w:sz w:val="24"/>
          <w:szCs w:val="24"/>
        </w:rPr>
        <w:t xml:space="preserve">. Ao contrário do que se pode supor pela literatura rabínica posterior, o judaísmo antes do período de revoltas era composto por diversos grupos unificados pelas referências à Torá e ao Templo, ainda que cada uma dessas correntes tivesse sua própria interpretação sobre seus significados. A partir de documentação contemporânea, como os textos de </w:t>
      </w:r>
      <w:proofErr w:type="spellStart"/>
      <w:r w:rsidRPr="002571E5">
        <w:rPr>
          <w:rFonts w:ascii="Times New Roman" w:hAnsi="Times New Roman"/>
          <w:sz w:val="24"/>
          <w:szCs w:val="24"/>
        </w:rPr>
        <w:t>Qumrã</w:t>
      </w:r>
      <w:proofErr w:type="spellEnd"/>
      <w:r w:rsidRPr="002571E5">
        <w:rPr>
          <w:rFonts w:ascii="Times New Roman" w:hAnsi="Times New Roman"/>
          <w:sz w:val="24"/>
          <w:szCs w:val="24"/>
        </w:rPr>
        <w:t xml:space="preserve">, literatura apócrifa, judaico-helenística, além de descobertas arqueológicas, descortina-se um panorama bastante plural da religiosidade </w:t>
      </w:r>
      <w:proofErr w:type="spellStart"/>
      <w:r w:rsidRPr="002571E5">
        <w:rPr>
          <w:rFonts w:ascii="Times New Roman" w:hAnsi="Times New Roman"/>
          <w:sz w:val="24"/>
          <w:szCs w:val="24"/>
        </w:rPr>
        <w:lastRenderedPageBreak/>
        <w:t>palestinense</w:t>
      </w:r>
      <w:proofErr w:type="spellEnd"/>
      <w:r w:rsidR="000C4B04">
        <w:rPr>
          <w:rFonts w:ascii="Times New Roman" w:hAnsi="Times New Roman"/>
          <w:sz w:val="24"/>
          <w:szCs w:val="24"/>
        </w:rPr>
        <w:t xml:space="preserve"> </w:t>
      </w:r>
      <w:r w:rsidR="000C4B04" w:rsidRPr="000C4B04">
        <w:rPr>
          <w:rFonts w:ascii="Times New Roman" w:hAnsi="Times New Roman"/>
          <w:sz w:val="24"/>
          <w:szCs w:val="24"/>
        </w:rPr>
        <w:t>(Ib</w:t>
      </w:r>
      <w:r w:rsidR="000C4B04">
        <w:rPr>
          <w:rFonts w:ascii="Times New Roman" w:hAnsi="Times New Roman"/>
          <w:sz w:val="24"/>
          <w:szCs w:val="24"/>
        </w:rPr>
        <w:t>i</w:t>
      </w:r>
      <w:r w:rsidR="000C4B04" w:rsidRPr="000C4B04">
        <w:rPr>
          <w:rFonts w:ascii="Times New Roman" w:hAnsi="Times New Roman"/>
          <w:sz w:val="24"/>
          <w:szCs w:val="24"/>
        </w:rPr>
        <w:t>d</w:t>
      </w:r>
      <w:r w:rsidR="000C4B04">
        <w:rPr>
          <w:rFonts w:ascii="Times New Roman" w:hAnsi="Times New Roman"/>
          <w:sz w:val="24"/>
          <w:szCs w:val="24"/>
        </w:rPr>
        <w:t>.</w:t>
      </w:r>
      <w:r w:rsidR="000C4B04" w:rsidRPr="000C4B04">
        <w:rPr>
          <w:rFonts w:ascii="Times New Roman" w:hAnsi="Times New Roman"/>
          <w:sz w:val="24"/>
          <w:szCs w:val="24"/>
        </w:rPr>
        <w:t>, 48)</w:t>
      </w:r>
      <w:r w:rsidRPr="002571E5">
        <w:rPr>
          <w:rFonts w:ascii="Times New Roman" w:hAnsi="Times New Roman"/>
          <w:sz w:val="24"/>
          <w:szCs w:val="24"/>
        </w:rPr>
        <w:t>.</w:t>
      </w:r>
      <w:r w:rsidR="0058317B">
        <w:rPr>
          <w:rFonts w:ascii="Times New Roman" w:hAnsi="Times New Roman"/>
          <w:sz w:val="24"/>
          <w:szCs w:val="24"/>
        </w:rPr>
        <w:t xml:space="preserve"> Uma das correntes que surge neste período deve ser ressaltada, devido a sua projeção e característico tratamento da mesma documentação, além do desenvolvimento de uma exegese particular: o cristianismo.</w:t>
      </w:r>
    </w:p>
    <w:p w:rsidR="00430662" w:rsidRPr="002571E5" w:rsidRDefault="00430662" w:rsidP="00080A6F">
      <w:pPr>
        <w:spacing w:line="240" w:lineRule="auto"/>
        <w:ind w:firstLine="709"/>
        <w:jc w:val="both"/>
        <w:rPr>
          <w:rFonts w:ascii="Times New Roman" w:hAnsi="Times New Roman"/>
          <w:snapToGrid w:val="0"/>
          <w:sz w:val="24"/>
          <w:szCs w:val="24"/>
        </w:rPr>
      </w:pPr>
      <w:r w:rsidRPr="002571E5">
        <w:rPr>
          <w:rFonts w:ascii="Times New Roman" w:hAnsi="Times New Roman"/>
          <w:sz w:val="24"/>
          <w:szCs w:val="24"/>
        </w:rPr>
        <w:t xml:space="preserve">Com a tomada de Jerusalém e a queda do Templo, assinala-se a derrota iminente das forças judaicas revoltosas (embora a fortaleza de </w:t>
      </w:r>
      <w:proofErr w:type="spellStart"/>
      <w:r w:rsidRPr="002571E5">
        <w:rPr>
          <w:rFonts w:ascii="Times New Roman" w:hAnsi="Times New Roman"/>
          <w:sz w:val="24"/>
          <w:szCs w:val="24"/>
        </w:rPr>
        <w:t>Massada</w:t>
      </w:r>
      <w:proofErr w:type="spellEnd"/>
      <w:r w:rsidRPr="002571E5">
        <w:rPr>
          <w:rFonts w:ascii="Times New Roman" w:hAnsi="Times New Roman"/>
          <w:sz w:val="24"/>
          <w:szCs w:val="24"/>
        </w:rPr>
        <w:t xml:space="preserve"> ainda tenha subsistido durante algum tempo, marcando a resistência), arrasando a cidade e proibindo os judeus de voltar a pisar em seu solo. Com a Segunda Diáspora</w:t>
      </w:r>
      <w:r w:rsidR="000C4B04">
        <w:rPr>
          <w:rFonts w:ascii="Times New Roman" w:hAnsi="Times New Roman"/>
          <w:sz w:val="24"/>
          <w:szCs w:val="24"/>
        </w:rPr>
        <w:t xml:space="preserve"> </w:t>
      </w:r>
      <w:r w:rsidR="000C4B04">
        <w:rPr>
          <w:rStyle w:val="Refdenotadefim"/>
          <w:rFonts w:ascii="Times New Roman" w:hAnsi="Times New Roman"/>
          <w:sz w:val="24"/>
          <w:szCs w:val="24"/>
        </w:rPr>
        <w:endnoteReference w:id="7"/>
      </w:r>
      <w:r w:rsidRPr="002571E5">
        <w:rPr>
          <w:rFonts w:ascii="Times New Roman" w:hAnsi="Times New Roman"/>
          <w:sz w:val="24"/>
          <w:szCs w:val="24"/>
        </w:rPr>
        <w:t xml:space="preserve">, a autoridade religiosa que residia no Templo dissipa-se e, com ela, a unidade dos diversos grupos do judaísmo. Para </w:t>
      </w:r>
      <w:proofErr w:type="spellStart"/>
      <w:r w:rsidRPr="002571E5">
        <w:rPr>
          <w:rFonts w:ascii="Times New Roman" w:hAnsi="Times New Roman"/>
          <w:sz w:val="24"/>
          <w:szCs w:val="24"/>
        </w:rPr>
        <w:t>Josefo</w:t>
      </w:r>
      <w:proofErr w:type="spellEnd"/>
      <w:r w:rsidRPr="002571E5">
        <w:rPr>
          <w:rFonts w:ascii="Times New Roman" w:hAnsi="Times New Roman"/>
          <w:sz w:val="24"/>
          <w:szCs w:val="24"/>
        </w:rPr>
        <w:t xml:space="preserve">, a Divindade se afastou do povo judeu e agora </w:t>
      </w:r>
      <w:proofErr w:type="gramStart"/>
      <w:r w:rsidRPr="002571E5">
        <w:rPr>
          <w:rFonts w:ascii="Times New Roman" w:hAnsi="Times New Roman"/>
          <w:sz w:val="24"/>
          <w:szCs w:val="24"/>
        </w:rPr>
        <w:t>encontra-se</w:t>
      </w:r>
      <w:proofErr w:type="gramEnd"/>
      <w:r w:rsidRPr="002571E5">
        <w:rPr>
          <w:rFonts w:ascii="Times New Roman" w:hAnsi="Times New Roman"/>
          <w:sz w:val="24"/>
          <w:szCs w:val="24"/>
        </w:rPr>
        <w:t xml:space="preserve"> entre os romanos; os fariseus, que assumem a responsabilidade de dar continuidade à tradição judaica, defendem que a autoridade reside a partir de então na </w:t>
      </w:r>
      <w:r w:rsidRPr="002571E5">
        <w:rPr>
          <w:rFonts w:ascii="Times New Roman" w:hAnsi="Times New Roman"/>
          <w:iCs/>
          <w:sz w:val="24"/>
          <w:szCs w:val="24"/>
        </w:rPr>
        <w:t>Torá</w:t>
      </w:r>
      <w:r w:rsidRPr="002571E5">
        <w:rPr>
          <w:rFonts w:ascii="Times New Roman" w:hAnsi="Times New Roman"/>
          <w:sz w:val="24"/>
          <w:szCs w:val="24"/>
        </w:rPr>
        <w:t>; e os cristãos, por sua vez, pregam que a autoridade religiosa se manifesta através de Jesus e da comunidade formada em seu nome</w:t>
      </w:r>
      <w:r w:rsidR="000C4B04">
        <w:rPr>
          <w:rFonts w:ascii="Times New Roman" w:hAnsi="Times New Roman"/>
          <w:sz w:val="24"/>
          <w:szCs w:val="24"/>
        </w:rPr>
        <w:t xml:space="preserve"> </w:t>
      </w:r>
      <w:r w:rsidR="000C4B04" w:rsidRPr="000C4B04">
        <w:rPr>
          <w:rFonts w:ascii="Times New Roman" w:hAnsi="Times New Roman"/>
          <w:sz w:val="24"/>
          <w:szCs w:val="24"/>
        </w:rPr>
        <w:t>(</w:t>
      </w:r>
      <w:r w:rsidR="000C4B04" w:rsidRPr="000C4B04">
        <w:rPr>
          <w:rFonts w:ascii="Times New Roman" w:hAnsi="Times New Roman"/>
          <w:snapToGrid w:val="0"/>
          <w:sz w:val="24"/>
          <w:szCs w:val="24"/>
        </w:rPr>
        <w:t>HAMILTON, 2008:100)</w:t>
      </w:r>
      <w:r w:rsidRPr="002571E5">
        <w:rPr>
          <w:rFonts w:ascii="Times New Roman" w:hAnsi="Times New Roman"/>
          <w:snapToGrid w:val="0"/>
          <w:sz w:val="24"/>
          <w:szCs w:val="24"/>
        </w:rPr>
        <w:t>. “Depois da destruição de Jerusalém no ano 70, o judaísmo unificou-se em torno da corrente farisaica e fez desaparecer de seu seio todos os outros grupos que, no período anterior, faziam part</w:t>
      </w:r>
      <w:r w:rsidR="000C4B04">
        <w:rPr>
          <w:rFonts w:ascii="Times New Roman" w:hAnsi="Times New Roman"/>
          <w:snapToGrid w:val="0"/>
          <w:sz w:val="24"/>
          <w:szCs w:val="24"/>
        </w:rPr>
        <w:t>e do judaísmo com igual direito</w:t>
      </w:r>
      <w:r w:rsidRPr="002571E5">
        <w:rPr>
          <w:rFonts w:ascii="Times New Roman" w:hAnsi="Times New Roman"/>
          <w:snapToGrid w:val="0"/>
          <w:sz w:val="24"/>
          <w:szCs w:val="24"/>
        </w:rPr>
        <w:t>”</w:t>
      </w:r>
      <w:r w:rsidR="000C4B04">
        <w:rPr>
          <w:rFonts w:ascii="Times New Roman" w:hAnsi="Times New Roman"/>
          <w:snapToGrid w:val="0"/>
          <w:sz w:val="24"/>
          <w:szCs w:val="24"/>
        </w:rPr>
        <w:t xml:space="preserve"> </w:t>
      </w:r>
      <w:r w:rsidR="000C4B04" w:rsidRPr="000C4B04">
        <w:rPr>
          <w:rFonts w:ascii="Times New Roman" w:hAnsi="Times New Roman"/>
          <w:snapToGrid w:val="0"/>
          <w:sz w:val="24"/>
          <w:szCs w:val="24"/>
        </w:rPr>
        <w:t>(</w:t>
      </w:r>
      <w:r w:rsidR="000C4B04" w:rsidRPr="000C4B04">
        <w:rPr>
          <w:rFonts w:ascii="Times New Roman" w:hAnsi="Times New Roman"/>
          <w:sz w:val="24"/>
          <w:szCs w:val="24"/>
        </w:rPr>
        <w:t>BARRERA, 1999:49)</w:t>
      </w:r>
      <w:r w:rsidR="000C4B04">
        <w:t>.</w:t>
      </w:r>
    </w:p>
    <w:p w:rsidR="00430662" w:rsidRDefault="00430662" w:rsidP="00080A6F">
      <w:pPr>
        <w:spacing w:line="240" w:lineRule="auto"/>
        <w:ind w:firstLine="709"/>
        <w:jc w:val="both"/>
        <w:rPr>
          <w:rFonts w:ascii="Times New Roman" w:hAnsi="Times New Roman"/>
          <w:sz w:val="24"/>
          <w:szCs w:val="24"/>
        </w:rPr>
      </w:pPr>
      <w:r w:rsidRPr="002571E5">
        <w:rPr>
          <w:rFonts w:ascii="Times New Roman" w:hAnsi="Times New Roman"/>
          <w:snapToGrid w:val="0"/>
          <w:sz w:val="24"/>
          <w:szCs w:val="24"/>
        </w:rPr>
        <w:t xml:space="preserve">A partir deste momento, as características que diferenciavam os fariseus do grupo cristão tornam-se ainda mais latentes. </w:t>
      </w:r>
      <w:r w:rsidRPr="002571E5">
        <w:rPr>
          <w:rFonts w:ascii="Times New Roman" w:hAnsi="Times New Roman"/>
          <w:sz w:val="24"/>
          <w:szCs w:val="24"/>
        </w:rPr>
        <w:t xml:space="preserve">Com relação às pesquisas acerca de suas práticas religiosas, podemos mencionar a existência de duas correntes entre os estudiosos do tema: a mais tradicional, formulada no final do século XIX por Adolf </w:t>
      </w:r>
      <w:proofErr w:type="spellStart"/>
      <w:proofErr w:type="gramStart"/>
      <w:r w:rsidRPr="002571E5">
        <w:rPr>
          <w:rFonts w:ascii="Times New Roman" w:hAnsi="Times New Roman"/>
          <w:sz w:val="24"/>
          <w:szCs w:val="24"/>
        </w:rPr>
        <w:t>von</w:t>
      </w:r>
      <w:proofErr w:type="spellEnd"/>
      <w:proofErr w:type="gramEnd"/>
      <w:r w:rsidRPr="002571E5">
        <w:rPr>
          <w:rFonts w:ascii="Times New Roman" w:hAnsi="Times New Roman"/>
          <w:sz w:val="24"/>
          <w:szCs w:val="24"/>
        </w:rPr>
        <w:t xml:space="preserve"> </w:t>
      </w:r>
      <w:proofErr w:type="spellStart"/>
      <w:r w:rsidRPr="002571E5">
        <w:rPr>
          <w:rFonts w:ascii="Times New Roman" w:hAnsi="Times New Roman"/>
          <w:sz w:val="24"/>
          <w:szCs w:val="24"/>
        </w:rPr>
        <w:t>Harnack</w:t>
      </w:r>
      <w:proofErr w:type="spellEnd"/>
      <w:r w:rsidRPr="002571E5">
        <w:rPr>
          <w:rFonts w:ascii="Times New Roman" w:hAnsi="Times New Roman"/>
          <w:sz w:val="24"/>
          <w:szCs w:val="24"/>
        </w:rPr>
        <w:t xml:space="preserve">, que é, por convenção, chamada de </w:t>
      </w:r>
      <w:proofErr w:type="spellStart"/>
      <w:r w:rsidRPr="002571E5">
        <w:rPr>
          <w:rFonts w:ascii="Times New Roman" w:hAnsi="Times New Roman"/>
          <w:i/>
          <w:iCs/>
          <w:sz w:val="24"/>
          <w:szCs w:val="24"/>
        </w:rPr>
        <w:t>Spätjudentum</w:t>
      </w:r>
      <w:proofErr w:type="spellEnd"/>
      <w:r w:rsidRPr="002571E5">
        <w:rPr>
          <w:rFonts w:ascii="Times New Roman" w:hAnsi="Times New Roman"/>
          <w:sz w:val="24"/>
          <w:szCs w:val="24"/>
        </w:rPr>
        <w:t xml:space="preserve">, ou </w:t>
      </w:r>
      <w:r w:rsidRPr="002571E5">
        <w:rPr>
          <w:rFonts w:ascii="Times New Roman" w:hAnsi="Times New Roman"/>
          <w:b/>
          <w:bCs/>
          <w:sz w:val="24"/>
          <w:szCs w:val="24"/>
        </w:rPr>
        <w:t>judaísmo tardio</w:t>
      </w:r>
      <w:r w:rsidR="000C4B04">
        <w:rPr>
          <w:rFonts w:ascii="Times New Roman" w:hAnsi="Times New Roman"/>
          <w:b/>
          <w:bCs/>
          <w:sz w:val="24"/>
          <w:szCs w:val="24"/>
        </w:rPr>
        <w:t xml:space="preserve"> </w:t>
      </w:r>
      <w:r w:rsidR="000C4B04" w:rsidRPr="000C4B04">
        <w:rPr>
          <w:rFonts w:ascii="Times New Roman" w:hAnsi="Times New Roman"/>
          <w:bCs/>
          <w:sz w:val="24"/>
          <w:szCs w:val="24"/>
        </w:rPr>
        <w:t>(</w:t>
      </w:r>
      <w:r w:rsidR="000C4B04" w:rsidRPr="000C4B04">
        <w:rPr>
          <w:rFonts w:ascii="Times New Roman" w:hAnsi="Times New Roman"/>
          <w:sz w:val="24"/>
          <w:szCs w:val="24"/>
        </w:rPr>
        <w:t>REED; BECKER, 2007:7)</w:t>
      </w:r>
      <w:r w:rsidRPr="002571E5">
        <w:rPr>
          <w:rFonts w:ascii="Times New Roman" w:hAnsi="Times New Roman"/>
          <w:sz w:val="24"/>
          <w:szCs w:val="24"/>
        </w:rPr>
        <w:t xml:space="preserve">, defende que, depois do advento do cristianismo, o judaísmo passou a ser marcado por um esgotamento progressivo, isolando cada vez mais seus seguidores; e mais recentemente, o modelo dos </w:t>
      </w:r>
      <w:r w:rsidRPr="002571E5">
        <w:rPr>
          <w:rFonts w:ascii="Times New Roman" w:hAnsi="Times New Roman"/>
          <w:b/>
          <w:bCs/>
          <w:sz w:val="24"/>
          <w:szCs w:val="24"/>
        </w:rPr>
        <w:t>caminhos que não se separam</w:t>
      </w:r>
      <w:r w:rsidRPr="002571E5">
        <w:rPr>
          <w:rFonts w:ascii="Times New Roman" w:hAnsi="Times New Roman"/>
          <w:sz w:val="24"/>
          <w:szCs w:val="24"/>
        </w:rPr>
        <w:t xml:space="preserve"> (</w:t>
      </w:r>
      <w:proofErr w:type="spellStart"/>
      <w:r w:rsidRPr="002571E5">
        <w:rPr>
          <w:rFonts w:ascii="Times New Roman" w:hAnsi="Times New Roman"/>
          <w:i/>
          <w:iCs/>
          <w:sz w:val="24"/>
          <w:szCs w:val="24"/>
        </w:rPr>
        <w:t>the</w:t>
      </w:r>
      <w:proofErr w:type="spellEnd"/>
      <w:r w:rsidRPr="002571E5">
        <w:rPr>
          <w:rFonts w:ascii="Times New Roman" w:hAnsi="Times New Roman"/>
          <w:i/>
          <w:iCs/>
          <w:sz w:val="24"/>
          <w:szCs w:val="24"/>
        </w:rPr>
        <w:t xml:space="preserve"> </w:t>
      </w:r>
      <w:proofErr w:type="spellStart"/>
      <w:r w:rsidRPr="002571E5">
        <w:rPr>
          <w:rFonts w:ascii="Times New Roman" w:hAnsi="Times New Roman"/>
          <w:i/>
          <w:iCs/>
          <w:sz w:val="24"/>
          <w:szCs w:val="24"/>
        </w:rPr>
        <w:t>ways</w:t>
      </w:r>
      <w:proofErr w:type="spellEnd"/>
      <w:r w:rsidRPr="002571E5">
        <w:rPr>
          <w:rFonts w:ascii="Times New Roman" w:hAnsi="Times New Roman"/>
          <w:i/>
          <w:iCs/>
          <w:sz w:val="24"/>
          <w:szCs w:val="24"/>
        </w:rPr>
        <w:t xml:space="preserve"> </w:t>
      </w:r>
      <w:proofErr w:type="spellStart"/>
      <w:r w:rsidRPr="002571E5">
        <w:rPr>
          <w:rFonts w:ascii="Times New Roman" w:hAnsi="Times New Roman"/>
          <w:i/>
          <w:iCs/>
          <w:sz w:val="24"/>
          <w:szCs w:val="24"/>
        </w:rPr>
        <w:t>that</w:t>
      </w:r>
      <w:proofErr w:type="spellEnd"/>
      <w:r w:rsidRPr="002571E5">
        <w:rPr>
          <w:rFonts w:ascii="Times New Roman" w:hAnsi="Times New Roman"/>
          <w:i/>
          <w:iCs/>
          <w:sz w:val="24"/>
          <w:szCs w:val="24"/>
        </w:rPr>
        <w:t xml:space="preserve"> </w:t>
      </w:r>
      <w:proofErr w:type="spellStart"/>
      <w:r w:rsidRPr="002571E5">
        <w:rPr>
          <w:rFonts w:ascii="Times New Roman" w:hAnsi="Times New Roman"/>
          <w:i/>
          <w:iCs/>
          <w:sz w:val="24"/>
          <w:szCs w:val="24"/>
        </w:rPr>
        <w:t>never</w:t>
      </w:r>
      <w:proofErr w:type="spellEnd"/>
      <w:r w:rsidRPr="002571E5">
        <w:rPr>
          <w:rFonts w:ascii="Times New Roman" w:hAnsi="Times New Roman"/>
          <w:i/>
          <w:iCs/>
          <w:sz w:val="24"/>
          <w:szCs w:val="24"/>
        </w:rPr>
        <w:t xml:space="preserve"> </w:t>
      </w:r>
      <w:proofErr w:type="spellStart"/>
      <w:r w:rsidRPr="002571E5">
        <w:rPr>
          <w:rFonts w:ascii="Times New Roman" w:hAnsi="Times New Roman"/>
          <w:i/>
          <w:iCs/>
          <w:sz w:val="24"/>
          <w:szCs w:val="24"/>
        </w:rPr>
        <w:t>parted</w:t>
      </w:r>
      <w:proofErr w:type="spellEnd"/>
      <w:r w:rsidRPr="002571E5">
        <w:rPr>
          <w:rFonts w:ascii="Times New Roman" w:hAnsi="Times New Roman"/>
          <w:sz w:val="24"/>
          <w:szCs w:val="24"/>
        </w:rPr>
        <w:t>) defende que haveria, na verdade,</w:t>
      </w:r>
    </w:p>
    <w:p w:rsidR="0058317B" w:rsidRPr="002571E5" w:rsidRDefault="0058317B" w:rsidP="00080A6F">
      <w:pPr>
        <w:spacing w:line="240" w:lineRule="auto"/>
        <w:ind w:firstLine="709"/>
        <w:jc w:val="both"/>
        <w:rPr>
          <w:rFonts w:ascii="Times New Roman" w:hAnsi="Times New Roman"/>
          <w:sz w:val="24"/>
          <w:szCs w:val="24"/>
        </w:rPr>
      </w:pPr>
    </w:p>
    <w:p w:rsidR="00430662" w:rsidRPr="00C2385B" w:rsidRDefault="00430662" w:rsidP="00080A6F">
      <w:pPr>
        <w:spacing w:line="240" w:lineRule="auto"/>
        <w:ind w:left="2268"/>
        <w:jc w:val="both"/>
        <w:rPr>
          <w:rFonts w:ascii="Times New Roman" w:hAnsi="Times New Roman"/>
          <w:sz w:val="20"/>
          <w:szCs w:val="20"/>
        </w:rPr>
      </w:pPr>
      <w:r w:rsidRPr="00C2385B">
        <w:rPr>
          <w:rFonts w:ascii="Times New Roman" w:hAnsi="Times New Roman"/>
          <w:sz w:val="20"/>
          <w:szCs w:val="20"/>
        </w:rPr>
        <w:t>[...] uma situação de relativa permeabilidade entre judeus e cristãos no decorrer de toda a fase imperial, de modo que as diversas comunidades de crentes em Jesus</w:t>
      </w:r>
      <w:proofErr w:type="gramStart"/>
      <w:r w:rsidRPr="00C2385B">
        <w:rPr>
          <w:rFonts w:ascii="Times New Roman" w:hAnsi="Times New Roman"/>
          <w:sz w:val="20"/>
          <w:szCs w:val="20"/>
        </w:rPr>
        <w:t>, quer</w:t>
      </w:r>
      <w:proofErr w:type="gramEnd"/>
      <w:r w:rsidRPr="00C2385B">
        <w:rPr>
          <w:rFonts w:ascii="Times New Roman" w:hAnsi="Times New Roman"/>
          <w:sz w:val="20"/>
          <w:szCs w:val="20"/>
        </w:rPr>
        <w:t xml:space="preserve"> de extração judaica ou gentia, comporiam um subgrupo dentro de um conjunto variado de comunidades religiosas mais ou menos filiadas ao judaísmo. Os autores alinhados com esse paradigma não negam que, em última análise, tenha se operado uma clivagem irreversível entre judeus e cristãos, mas </w:t>
      </w:r>
      <w:proofErr w:type="gramStart"/>
      <w:r w:rsidRPr="00C2385B">
        <w:rPr>
          <w:rFonts w:ascii="Times New Roman" w:hAnsi="Times New Roman"/>
          <w:sz w:val="20"/>
          <w:szCs w:val="20"/>
        </w:rPr>
        <w:t>preferem</w:t>
      </w:r>
      <w:proofErr w:type="gramEnd"/>
      <w:r w:rsidRPr="00C2385B">
        <w:rPr>
          <w:rFonts w:ascii="Times New Roman" w:hAnsi="Times New Roman"/>
          <w:sz w:val="20"/>
          <w:szCs w:val="20"/>
        </w:rPr>
        <w:t xml:space="preserve"> situá-la num momento tardio do Império Romano, a partir do século IV, quando a atuação de Constantino desequilibra definitivamente a balança em favor dos cristãos</w:t>
      </w:r>
      <w:r w:rsidR="000C4B04" w:rsidRPr="00C2385B">
        <w:rPr>
          <w:rFonts w:ascii="Times New Roman" w:hAnsi="Times New Roman"/>
          <w:sz w:val="20"/>
          <w:szCs w:val="20"/>
        </w:rPr>
        <w:t xml:space="preserve"> (SILVA, 2008:167)</w:t>
      </w:r>
      <w:r w:rsidRPr="00C2385B">
        <w:rPr>
          <w:rFonts w:ascii="Times New Roman" w:hAnsi="Times New Roman"/>
          <w:sz w:val="20"/>
          <w:szCs w:val="20"/>
        </w:rPr>
        <w:t>.</w:t>
      </w:r>
    </w:p>
    <w:p w:rsidR="00430662" w:rsidRPr="002571E5" w:rsidRDefault="00430662" w:rsidP="00080A6F">
      <w:pPr>
        <w:pStyle w:val="NormalWeb"/>
        <w:spacing w:before="0" w:beforeAutospacing="0" w:after="0" w:afterAutospacing="0"/>
        <w:ind w:firstLine="567"/>
        <w:jc w:val="both"/>
        <w:rPr>
          <w:b/>
          <w:bCs/>
        </w:rPr>
      </w:pPr>
    </w:p>
    <w:p w:rsidR="00430662" w:rsidRDefault="00430662" w:rsidP="00080A6F">
      <w:pPr>
        <w:spacing w:line="240" w:lineRule="auto"/>
        <w:jc w:val="both"/>
        <w:rPr>
          <w:rFonts w:ascii="Times New Roman" w:hAnsi="Times New Roman"/>
          <w:sz w:val="24"/>
          <w:szCs w:val="24"/>
        </w:rPr>
      </w:pPr>
      <w:r w:rsidRPr="002571E5">
        <w:rPr>
          <w:rFonts w:ascii="Times New Roman" w:hAnsi="Times New Roman"/>
          <w:sz w:val="24"/>
          <w:szCs w:val="24"/>
        </w:rPr>
        <w:tab/>
        <w:t>Independente do momento em que se considere ter havido esse rompimento inevitável entre judeus e cristãos, durante grande parte da segunda metade do I século suas interpretações das leis judaicas foram bem próximas</w:t>
      </w:r>
      <w:r w:rsidR="00080A6F">
        <w:rPr>
          <w:rFonts w:ascii="Times New Roman" w:hAnsi="Times New Roman"/>
          <w:sz w:val="24"/>
          <w:szCs w:val="24"/>
        </w:rPr>
        <w:t>,</w:t>
      </w:r>
      <w:r w:rsidRPr="002571E5">
        <w:rPr>
          <w:rFonts w:ascii="Times New Roman" w:hAnsi="Times New Roman"/>
          <w:sz w:val="24"/>
          <w:szCs w:val="24"/>
        </w:rPr>
        <w:t xml:space="preserve"> </w:t>
      </w:r>
      <w:r w:rsidR="00080A6F">
        <w:rPr>
          <w:rFonts w:ascii="Times New Roman" w:hAnsi="Times New Roman"/>
          <w:sz w:val="24"/>
          <w:szCs w:val="24"/>
        </w:rPr>
        <w:t>como</w:t>
      </w:r>
      <w:r w:rsidRPr="002571E5">
        <w:rPr>
          <w:rFonts w:ascii="Times New Roman" w:hAnsi="Times New Roman"/>
          <w:sz w:val="24"/>
          <w:szCs w:val="24"/>
        </w:rPr>
        <w:t xml:space="preserve"> </w:t>
      </w:r>
      <w:r w:rsidR="00E96CA8">
        <w:rPr>
          <w:rFonts w:ascii="Times New Roman" w:hAnsi="Times New Roman"/>
          <w:sz w:val="24"/>
          <w:szCs w:val="24"/>
        </w:rPr>
        <w:t xml:space="preserve">exemplificam </w:t>
      </w:r>
      <w:r w:rsidRPr="002571E5">
        <w:rPr>
          <w:rFonts w:ascii="Times New Roman" w:hAnsi="Times New Roman"/>
          <w:sz w:val="24"/>
          <w:szCs w:val="24"/>
        </w:rPr>
        <w:t xml:space="preserve">os desentendimentos descritos no livro de Atos. </w:t>
      </w:r>
    </w:p>
    <w:p w:rsidR="002849EC" w:rsidRDefault="002849EC" w:rsidP="00080A6F">
      <w:pPr>
        <w:spacing w:line="240" w:lineRule="auto"/>
        <w:jc w:val="both"/>
        <w:rPr>
          <w:rFonts w:ascii="Times New Roman" w:hAnsi="Times New Roman"/>
          <w:sz w:val="24"/>
          <w:szCs w:val="24"/>
        </w:rPr>
      </w:pPr>
      <w:r>
        <w:rPr>
          <w:rFonts w:ascii="Times New Roman" w:hAnsi="Times New Roman"/>
          <w:sz w:val="24"/>
          <w:szCs w:val="24"/>
        </w:rPr>
        <w:tab/>
        <w:t xml:space="preserve">Desta forma, nesta fase da pesquisa podemos concluir que a utilização da documentação bíblica pode nos fornecer informações importantes acerca da </w:t>
      </w:r>
      <w:r w:rsidR="00C251B9">
        <w:rPr>
          <w:rFonts w:ascii="Times New Roman" w:hAnsi="Times New Roman"/>
          <w:sz w:val="24"/>
          <w:szCs w:val="24"/>
        </w:rPr>
        <w:t xml:space="preserve">religiosidade da </w:t>
      </w:r>
      <w:r>
        <w:rPr>
          <w:rFonts w:ascii="Times New Roman" w:hAnsi="Times New Roman"/>
          <w:sz w:val="24"/>
          <w:szCs w:val="24"/>
        </w:rPr>
        <w:t xml:space="preserve">sociedade judaica e cristã do primeiro século da Era Cristã, mesmo seu texto tendo sido escrito alguns séculos antes; através </w:t>
      </w:r>
      <w:r w:rsidR="00C251B9">
        <w:rPr>
          <w:rFonts w:ascii="Times New Roman" w:hAnsi="Times New Roman"/>
          <w:sz w:val="24"/>
          <w:szCs w:val="24"/>
        </w:rPr>
        <w:t>da análise</w:t>
      </w:r>
      <w:r>
        <w:rPr>
          <w:rFonts w:ascii="Times New Roman" w:hAnsi="Times New Roman"/>
          <w:sz w:val="24"/>
          <w:szCs w:val="24"/>
        </w:rPr>
        <w:t xml:space="preserve"> dos procedimentos exegéticos judaicos, </w:t>
      </w:r>
      <w:r w:rsidR="00C251B9">
        <w:rPr>
          <w:rFonts w:ascii="Times New Roman" w:hAnsi="Times New Roman"/>
          <w:sz w:val="24"/>
          <w:szCs w:val="24"/>
        </w:rPr>
        <w:t>podemos identificar camadas textuais que nos apresentam dados relevantes para o estudo da época.</w:t>
      </w:r>
    </w:p>
    <w:p w:rsidR="00E96CA8" w:rsidRPr="002571E5" w:rsidRDefault="00E96CA8" w:rsidP="00080A6F">
      <w:pPr>
        <w:spacing w:line="240" w:lineRule="auto"/>
        <w:jc w:val="both"/>
        <w:rPr>
          <w:rFonts w:ascii="Times New Roman" w:hAnsi="Times New Roman"/>
          <w:sz w:val="24"/>
          <w:szCs w:val="24"/>
        </w:rPr>
      </w:pPr>
      <w:r>
        <w:rPr>
          <w:rFonts w:ascii="Times New Roman" w:hAnsi="Times New Roman"/>
          <w:sz w:val="24"/>
          <w:szCs w:val="24"/>
        </w:rPr>
        <w:tab/>
      </w:r>
    </w:p>
    <w:sectPr w:rsidR="00E96CA8" w:rsidRPr="002571E5" w:rsidSect="0043066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05" w:rsidRDefault="00805C05" w:rsidP="00430662">
      <w:pPr>
        <w:spacing w:after="0" w:line="240" w:lineRule="auto"/>
      </w:pPr>
      <w:r>
        <w:separator/>
      </w:r>
    </w:p>
  </w:endnote>
  <w:endnote w:type="continuationSeparator" w:id="0">
    <w:p w:rsidR="00805C05" w:rsidRDefault="00805C05" w:rsidP="00430662">
      <w:pPr>
        <w:spacing w:after="0" w:line="240" w:lineRule="auto"/>
      </w:pPr>
      <w:r>
        <w:continuationSeparator/>
      </w:r>
    </w:p>
  </w:endnote>
  <w:endnote w:id="1">
    <w:p w:rsidR="00080A6F" w:rsidRPr="00080A6F" w:rsidRDefault="00080A6F" w:rsidP="00E76EA4">
      <w:pPr>
        <w:pStyle w:val="Textodenotaderodap"/>
        <w:jc w:val="both"/>
        <w:rPr>
          <w:b/>
          <w:sz w:val="24"/>
          <w:szCs w:val="24"/>
        </w:rPr>
      </w:pPr>
      <w:r w:rsidRPr="00080A6F">
        <w:rPr>
          <w:b/>
          <w:sz w:val="24"/>
          <w:szCs w:val="24"/>
        </w:rPr>
        <w:t>Notas</w:t>
      </w:r>
    </w:p>
    <w:p w:rsidR="00080A6F" w:rsidRDefault="00080A6F" w:rsidP="00E76EA4">
      <w:pPr>
        <w:pStyle w:val="Textodenotaderodap"/>
        <w:jc w:val="both"/>
        <w:rPr>
          <w:sz w:val="24"/>
          <w:szCs w:val="24"/>
        </w:rPr>
      </w:pPr>
    </w:p>
    <w:p w:rsidR="00E76EA4" w:rsidRPr="00832233" w:rsidRDefault="00E4691E" w:rsidP="00080A6F">
      <w:pPr>
        <w:pStyle w:val="Textodenotaderodap"/>
        <w:jc w:val="both"/>
        <w:rPr>
          <w:sz w:val="24"/>
          <w:szCs w:val="24"/>
        </w:rPr>
      </w:pPr>
      <w:r w:rsidRPr="00832233">
        <w:rPr>
          <w:rStyle w:val="Refdenotadefim"/>
          <w:sz w:val="24"/>
          <w:szCs w:val="24"/>
        </w:rPr>
        <w:endnoteRef/>
      </w:r>
      <w:r w:rsidRPr="00832233">
        <w:rPr>
          <w:sz w:val="24"/>
          <w:szCs w:val="24"/>
        </w:rPr>
        <w:t xml:space="preserve"> </w:t>
      </w:r>
      <w:r w:rsidR="00E76EA4" w:rsidRPr="00832233">
        <w:rPr>
          <w:sz w:val="24"/>
          <w:szCs w:val="24"/>
        </w:rPr>
        <w:t xml:space="preserve">O gênero literário de um discurso é definido, segundo C. H. Holman em </w:t>
      </w:r>
      <w:r w:rsidR="00E76EA4" w:rsidRPr="00832233">
        <w:rPr>
          <w:i/>
          <w:sz w:val="24"/>
          <w:szCs w:val="24"/>
        </w:rPr>
        <w:t xml:space="preserve">A </w:t>
      </w:r>
      <w:proofErr w:type="spellStart"/>
      <w:r w:rsidR="00E76EA4" w:rsidRPr="00832233">
        <w:rPr>
          <w:i/>
          <w:sz w:val="24"/>
          <w:szCs w:val="24"/>
        </w:rPr>
        <w:t>Handbook</w:t>
      </w:r>
      <w:proofErr w:type="spellEnd"/>
      <w:r w:rsidR="00E76EA4" w:rsidRPr="00832233">
        <w:rPr>
          <w:i/>
          <w:sz w:val="24"/>
          <w:szCs w:val="24"/>
        </w:rPr>
        <w:t xml:space="preserve"> to </w:t>
      </w:r>
      <w:proofErr w:type="spellStart"/>
      <w:r w:rsidR="00E76EA4" w:rsidRPr="00832233">
        <w:rPr>
          <w:i/>
          <w:sz w:val="24"/>
          <w:szCs w:val="24"/>
        </w:rPr>
        <w:t>Literature</w:t>
      </w:r>
      <w:proofErr w:type="spellEnd"/>
      <w:r w:rsidR="00E76EA4" w:rsidRPr="00832233">
        <w:rPr>
          <w:sz w:val="24"/>
          <w:szCs w:val="24"/>
        </w:rPr>
        <w:t xml:space="preserve"> (1972, P.232) pelos atributos que ele tem em comum com outros discursos. Tais atributos comuns, segundo C. F. Cardoso (1999, p.103), devem ser reconhecidos mais ou menos explicitamente nas diferentes sociedades e épocas históricas.</w:t>
      </w:r>
    </w:p>
    <w:p w:rsidR="00E76EA4" w:rsidRPr="00832233" w:rsidRDefault="00E76EA4" w:rsidP="00080A6F">
      <w:pPr>
        <w:pStyle w:val="Textodenotaderodap"/>
        <w:jc w:val="both"/>
        <w:rPr>
          <w:sz w:val="24"/>
          <w:szCs w:val="24"/>
          <w:lang w:val="en-US"/>
        </w:rPr>
      </w:pPr>
      <w:r w:rsidRPr="00832233">
        <w:rPr>
          <w:sz w:val="24"/>
          <w:szCs w:val="24"/>
          <w:lang w:val="en-US"/>
        </w:rPr>
        <w:t>*</w:t>
      </w:r>
      <w:proofErr w:type="spellStart"/>
      <w:r w:rsidRPr="00832233">
        <w:rPr>
          <w:sz w:val="24"/>
          <w:szCs w:val="24"/>
          <w:lang w:val="en-US"/>
        </w:rPr>
        <w:t>Referências</w:t>
      </w:r>
      <w:proofErr w:type="spellEnd"/>
      <w:r w:rsidRPr="00832233">
        <w:rPr>
          <w:sz w:val="24"/>
          <w:szCs w:val="24"/>
          <w:lang w:val="en-US"/>
        </w:rPr>
        <w:t xml:space="preserve"> </w:t>
      </w:r>
      <w:proofErr w:type="spellStart"/>
      <w:r w:rsidRPr="00832233">
        <w:rPr>
          <w:sz w:val="24"/>
          <w:szCs w:val="24"/>
          <w:lang w:val="en-US"/>
        </w:rPr>
        <w:t>completas</w:t>
      </w:r>
      <w:proofErr w:type="spellEnd"/>
      <w:r w:rsidRPr="00832233">
        <w:rPr>
          <w:sz w:val="24"/>
          <w:szCs w:val="24"/>
          <w:lang w:val="en-US"/>
        </w:rPr>
        <w:t xml:space="preserve">: </w:t>
      </w:r>
    </w:p>
    <w:p w:rsidR="00E76EA4" w:rsidRPr="00832233" w:rsidRDefault="00E76EA4" w:rsidP="00080A6F">
      <w:pPr>
        <w:pStyle w:val="Textodenotaderodap"/>
        <w:jc w:val="both"/>
        <w:rPr>
          <w:sz w:val="24"/>
          <w:szCs w:val="24"/>
          <w:lang w:val="en-US"/>
        </w:rPr>
      </w:pPr>
      <w:r w:rsidRPr="00832233">
        <w:rPr>
          <w:sz w:val="24"/>
          <w:szCs w:val="24"/>
          <w:lang w:val="en-US"/>
        </w:rPr>
        <w:t xml:space="preserve">HOLMAN, C. H. </w:t>
      </w:r>
      <w:proofErr w:type="gramStart"/>
      <w:r w:rsidRPr="00832233">
        <w:rPr>
          <w:i/>
          <w:sz w:val="24"/>
          <w:szCs w:val="24"/>
          <w:lang w:val="en-US"/>
        </w:rPr>
        <w:t>A Handbook to Literature</w:t>
      </w:r>
      <w:r w:rsidRPr="00832233">
        <w:rPr>
          <w:sz w:val="24"/>
          <w:szCs w:val="24"/>
          <w:lang w:val="en-US"/>
        </w:rPr>
        <w:t>.</w:t>
      </w:r>
      <w:proofErr w:type="gramEnd"/>
      <w:r w:rsidRPr="00832233">
        <w:rPr>
          <w:sz w:val="24"/>
          <w:szCs w:val="24"/>
          <w:lang w:val="en-US"/>
        </w:rPr>
        <w:t xml:space="preserve"> </w:t>
      </w:r>
      <w:proofErr w:type="spellStart"/>
      <w:r w:rsidRPr="00832233">
        <w:rPr>
          <w:sz w:val="24"/>
          <w:szCs w:val="24"/>
          <w:lang w:val="en-US"/>
        </w:rPr>
        <w:t>Indianápolis</w:t>
      </w:r>
      <w:proofErr w:type="spellEnd"/>
      <w:r w:rsidRPr="00832233">
        <w:rPr>
          <w:sz w:val="24"/>
          <w:szCs w:val="24"/>
          <w:lang w:val="en-US"/>
        </w:rPr>
        <w:t xml:space="preserve">: The Odyssey Press, 1972; </w:t>
      </w:r>
    </w:p>
    <w:p w:rsidR="00E4691E" w:rsidRPr="00832233" w:rsidRDefault="00E76EA4" w:rsidP="00080A6F">
      <w:pPr>
        <w:pStyle w:val="Textodenotadefim"/>
        <w:jc w:val="both"/>
        <w:rPr>
          <w:rFonts w:ascii="Times New Roman" w:hAnsi="Times New Roman"/>
          <w:sz w:val="24"/>
          <w:szCs w:val="24"/>
        </w:rPr>
      </w:pPr>
      <w:r w:rsidRPr="00832233">
        <w:rPr>
          <w:rFonts w:ascii="Times New Roman" w:hAnsi="Times New Roman"/>
          <w:sz w:val="24"/>
          <w:szCs w:val="24"/>
        </w:rPr>
        <w:t xml:space="preserve">CARDOSO, Ciro </w:t>
      </w:r>
      <w:proofErr w:type="spellStart"/>
      <w:r w:rsidRPr="00832233">
        <w:rPr>
          <w:rFonts w:ascii="Times New Roman" w:hAnsi="Times New Roman"/>
          <w:sz w:val="24"/>
          <w:szCs w:val="24"/>
        </w:rPr>
        <w:t>Flamarion</w:t>
      </w:r>
      <w:proofErr w:type="spellEnd"/>
      <w:r w:rsidRPr="00832233">
        <w:rPr>
          <w:rFonts w:ascii="Times New Roman" w:hAnsi="Times New Roman"/>
          <w:sz w:val="24"/>
          <w:szCs w:val="24"/>
        </w:rPr>
        <w:t xml:space="preserve">. Tinham os antigos uma literatura? </w:t>
      </w:r>
      <w:proofErr w:type="spellStart"/>
      <w:r w:rsidRPr="00832233">
        <w:rPr>
          <w:rFonts w:ascii="Times New Roman" w:hAnsi="Times New Roman"/>
          <w:i/>
          <w:sz w:val="24"/>
          <w:szCs w:val="24"/>
        </w:rPr>
        <w:t>Phoînix</w:t>
      </w:r>
      <w:proofErr w:type="spellEnd"/>
      <w:r w:rsidRPr="00832233">
        <w:rPr>
          <w:rFonts w:ascii="Times New Roman" w:hAnsi="Times New Roman"/>
          <w:sz w:val="24"/>
          <w:szCs w:val="24"/>
        </w:rPr>
        <w:t xml:space="preserve">. UFRJ. Laboratório de História Antiga/LHIA. Rio de Janeiro: Ed. </w:t>
      </w:r>
      <w:proofErr w:type="spellStart"/>
      <w:r w:rsidRPr="00832233">
        <w:rPr>
          <w:rFonts w:ascii="Times New Roman" w:hAnsi="Times New Roman"/>
          <w:sz w:val="24"/>
          <w:szCs w:val="24"/>
        </w:rPr>
        <w:t>Sette</w:t>
      </w:r>
      <w:proofErr w:type="spellEnd"/>
      <w:r w:rsidRPr="00832233">
        <w:rPr>
          <w:rFonts w:ascii="Times New Roman" w:hAnsi="Times New Roman"/>
          <w:sz w:val="24"/>
          <w:szCs w:val="24"/>
        </w:rPr>
        <w:t xml:space="preserve"> Letras, 1999. </w:t>
      </w:r>
      <w:proofErr w:type="gramStart"/>
      <w:r w:rsidRPr="00832233">
        <w:rPr>
          <w:rFonts w:ascii="Times New Roman" w:hAnsi="Times New Roman"/>
          <w:sz w:val="24"/>
          <w:szCs w:val="24"/>
        </w:rPr>
        <w:t>p.</w:t>
      </w:r>
      <w:proofErr w:type="gramEnd"/>
      <w:r w:rsidRPr="00832233">
        <w:rPr>
          <w:rFonts w:ascii="Times New Roman" w:hAnsi="Times New Roman"/>
          <w:sz w:val="24"/>
          <w:szCs w:val="24"/>
        </w:rPr>
        <w:t>99-120.</w:t>
      </w:r>
    </w:p>
  </w:endnote>
  <w:endnote w:id="2">
    <w:p w:rsidR="005E154A" w:rsidRPr="00832233" w:rsidRDefault="005E154A"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“O conjunto formado pela </w:t>
      </w:r>
      <w:r w:rsidRPr="00832233">
        <w:rPr>
          <w:rFonts w:ascii="Times New Roman" w:hAnsi="Times New Roman"/>
          <w:b/>
          <w:sz w:val="24"/>
          <w:szCs w:val="24"/>
        </w:rPr>
        <w:t>Bíblia Hebraica</w:t>
      </w:r>
      <w:r w:rsidRPr="00832233">
        <w:rPr>
          <w:rFonts w:ascii="Times New Roman" w:hAnsi="Times New Roman"/>
          <w:sz w:val="24"/>
          <w:szCs w:val="24"/>
        </w:rPr>
        <w:t xml:space="preserve"> (cânone judaico), também chamado de </w:t>
      </w:r>
      <w:r w:rsidRPr="00832233">
        <w:rPr>
          <w:rFonts w:ascii="Times New Roman" w:hAnsi="Times New Roman"/>
          <w:b/>
          <w:sz w:val="24"/>
          <w:szCs w:val="24"/>
        </w:rPr>
        <w:t>Antigo Testamento</w:t>
      </w:r>
      <w:r w:rsidRPr="00832233">
        <w:rPr>
          <w:rFonts w:ascii="Times New Roman" w:hAnsi="Times New Roman"/>
          <w:sz w:val="24"/>
          <w:szCs w:val="24"/>
        </w:rPr>
        <w:t xml:space="preserve"> (cânone cristão), recebe em hebraico o nome de </w:t>
      </w:r>
      <w:proofErr w:type="spellStart"/>
      <w:r w:rsidRPr="00832233">
        <w:rPr>
          <w:rFonts w:ascii="Times New Roman" w:hAnsi="Times New Roman"/>
          <w:i/>
          <w:sz w:val="24"/>
          <w:szCs w:val="24"/>
        </w:rPr>
        <w:t>Tanach</w:t>
      </w:r>
      <w:proofErr w:type="spellEnd"/>
      <w:r w:rsidRPr="00832233">
        <w:rPr>
          <w:rFonts w:ascii="Times New Roman" w:hAnsi="Times New Roman"/>
          <w:sz w:val="24"/>
          <w:szCs w:val="24"/>
        </w:rPr>
        <w:t xml:space="preserve">, uma </w:t>
      </w:r>
      <w:proofErr w:type="spellStart"/>
      <w:r w:rsidRPr="00832233">
        <w:rPr>
          <w:rFonts w:ascii="Times New Roman" w:hAnsi="Times New Roman"/>
          <w:sz w:val="24"/>
          <w:szCs w:val="24"/>
        </w:rPr>
        <w:t>acrossemia</w:t>
      </w:r>
      <w:proofErr w:type="spellEnd"/>
      <w:r w:rsidRPr="00832233">
        <w:rPr>
          <w:rFonts w:ascii="Times New Roman" w:hAnsi="Times New Roman"/>
          <w:sz w:val="24"/>
          <w:szCs w:val="24"/>
        </w:rPr>
        <w:t xml:space="preserve"> das palavras </w:t>
      </w:r>
      <w:proofErr w:type="spellStart"/>
      <w:r w:rsidRPr="00832233">
        <w:rPr>
          <w:rFonts w:ascii="Times New Roman" w:hAnsi="Times New Roman"/>
          <w:i/>
          <w:sz w:val="24"/>
          <w:szCs w:val="24"/>
        </w:rPr>
        <w:t>Torá</w:t>
      </w:r>
      <w:proofErr w:type="spellEnd"/>
      <w:r w:rsidRPr="00832233">
        <w:rPr>
          <w:rFonts w:ascii="Times New Roman" w:hAnsi="Times New Roman"/>
          <w:sz w:val="24"/>
          <w:szCs w:val="24"/>
        </w:rPr>
        <w:t xml:space="preserve"> (Pentateuco), </w:t>
      </w:r>
      <w:proofErr w:type="spellStart"/>
      <w:r w:rsidRPr="00832233">
        <w:rPr>
          <w:rFonts w:ascii="Times New Roman" w:hAnsi="Times New Roman"/>
          <w:i/>
          <w:sz w:val="24"/>
          <w:szCs w:val="24"/>
        </w:rPr>
        <w:t>Neviim</w:t>
      </w:r>
      <w:proofErr w:type="spellEnd"/>
      <w:r w:rsidRPr="00832233">
        <w:rPr>
          <w:rFonts w:ascii="Times New Roman" w:hAnsi="Times New Roman"/>
          <w:sz w:val="24"/>
          <w:szCs w:val="24"/>
        </w:rPr>
        <w:t xml:space="preserve"> (Profetas), </w:t>
      </w:r>
      <w:proofErr w:type="spellStart"/>
      <w:r w:rsidRPr="00832233">
        <w:rPr>
          <w:rFonts w:ascii="Times New Roman" w:hAnsi="Times New Roman"/>
          <w:i/>
          <w:sz w:val="24"/>
          <w:szCs w:val="24"/>
        </w:rPr>
        <w:t>Ketuvim</w:t>
      </w:r>
      <w:proofErr w:type="spellEnd"/>
      <w:r w:rsidRPr="00832233">
        <w:rPr>
          <w:rFonts w:ascii="Times New Roman" w:hAnsi="Times New Roman"/>
          <w:sz w:val="24"/>
          <w:szCs w:val="24"/>
        </w:rPr>
        <w:t xml:space="preserve"> (Escritos ou Hagiógrafos)” (FERREIRA, 2002:59).</w:t>
      </w:r>
    </w:p>
  </w:endnote>
  <w:endnote w:id="3">
    <w:p w:rsidR="00D525DB" w:rsidRPr="00832233" w:rsidRDefault="00D525DB"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Para uma visão mais ampla sobre a constituição dos escritos bíblicos nas mais diversas épocas, recomendamos a leitura do trabalho supracitado, em especial as páginas 57-105.</w:t>
      </w:r>
    </w:p>
  </w:endnote>
  <w:endnote w:id="4">
    <w:p w:rsidR="002F6E5D" w:rsidRPr="00832233" w:rsidRDefault="002F6E5D"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“O uso do termo grego ‘cânon’ tem origem </w:t>
      </w:r>
      <w:proofErr w:type="spellStart"/>
      <w:r w:rsidRPr="00832233">
        <w:rPr>
          <w:rFonts w:ascii="Times New Roman" w:hAnsi="Times New Roman"/>
          <w:sz w:val="24"/>
          <w:szCs w:val="24"/>
        </w:rPr>
        <w:t>neotestamentária</w:t>
      </w:r>
      <w:proofErr w:type="spellEnd"/>
      <w:r w:rsidRPr="00832233">
        <w:rPr>
          <w:rFonts w:ascii="Times New Roman" w:hAnsi="Times New Roman"/>
          <w:sz w:val="24"/>
          <w:szCs w:val="24"/>
        </w:rPr>
        <w:t xml:space="preserve">. É característico de uma visão cristã da Bíblia e corresponde, além do mais, a uma época bastante tardia da história da formação do cânon, o século IV d.C. A aplicação do termo ‘cânon’ à Bíblia hebraica resultou por isto bastante inadequada. A língua hebraica não conhece um termo correspondente. As discussões rabínicas sobre o caráter canônico ou apócrifo de alguns livros, como o Cântico dos Cânticos e o Eclesiastes, giram em torno da expressão ‘manchar as mãos’. Pode-se deduzir que os livros dos quais se diz que ‘mancham as mãos’ eram os canônicos, enquanto os livros aos quais não se aplicam tal expressão estavam excluídos do cânon bíblico. A expressão ‘manchar as mãos’, no entanto, pode não ir além do significado de purificação ritual, obrigatória depois de ter utilizado tais livros e antes de empreender qualquer outra atividade profana.” (BARRERA, </w:t>
      </w:r>
      <w:proofErr w:type="gramStart"/>
      <w:r w:rsidRPr="00832233">
        <w:rPr>
          <w:rFonts w:ascii="Times New Roman" w:hAnsi="Times New Roman"/>
          <w:sz w:val="24"/>
          <w:szCs w:val="24"/>
        </w:rPr>
        <w:t>1999:175,</w:t>
      </w:r>
      <w:proofErr w:type="gramEnd"/>
      <w:r w:rsidRPr="00832233">
        <w:rPr>
          <w:rFonts w:ascii="Times New Roman" w:hAnsi="Times New Roman"/>
          <w:sz w:val="24"/>
          <w:szCs w:val="24"/>
        </w:rPr>
        <w:t>176).</w:t>
      </w:r>
    </w:p>
  </w:endnote>
  <w:endnote w:id="5">
    <w:p w:rsidR="002F6E5D" w:rsidRPr="00832233" w:rsidRDefault="002F6E5D"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Para maior aprofundamento do tema, ver BARRERA, 1999:111-124.</w:t>
      </w:r>
    </w:p>
  </w:endnote>
  <w:endnote w:id="6">
    <w:p w:rsidR="002F6E5D" w:rsidRPr="00832233" w:rsidRDefault="002F6E5D"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“Interpretação filológica e doutrinal de um texto, particularmente de um texto de lei”. (LALANDE, 1999:361).</w:t>
      </w:r>
    </w:p>
  </w:endnote>
  <w:endnote w:id="7">
    <w:p w:rsidR="000C4B04" w:rsidRDefault="000C4B04" w:rsidP="00080A6F">
      <w:pPr>
        <w:pStyle w:val="Textodenotadefim"/>
        <w:jc w:val="both"/>
        <w:rPr>
          <w:rFonts w:ascii="Times New Roman" w:hAnsi="Times New Roman"/>
          <w:sz w:val="24"/>
          <w:szCs w:val="24"/>
        </w:rPr>
      </w:pPr>
      <w:r w:rsidRPr="00832233">
        <w:rPr>
          <w:rStyle w:val="Refdenotadefim"/>
          <w:rFonts w:ascii="Times New Roman" w:hAnsi="Times New Roman"/>
          <w:sz w:val="24"/>
          <w:szCs w:val="24"/>
        </w:rPr>
        <w:endnoteRef/>
      </w:r>
      <w:r w:rsidRPr="00832233">
        <w:rPr>
          <w:rFonts w:ascii="Times New Roman" w:hAnsi="Times New Roman"/>
          <w:sz w:val="24"/>
          <w:szCs w:val="24"/>
        </w:rPr>
        <w:t xml:space="preserve"> A Primeira Diáspora, ocorrida no século V a.C. e descrita nos livros bíblicos de I e II Reis, dá-se quando Nabucodonosor, governador do império </w:t>
      </w:r>
      <w:proofErr w:type="gramStart"/>
      <w:r w:rsidRPr="00832233">
        <w:rPr>
          <w:rFonts w:ascii="Times New Roman" w:hAnsi="Times New Roman"/>
          <w:sz w:val="24"/>
          <w:szCs w:val="24"/>
        </w:rPr>
        <w:t>neo-babilônico</w:t>
      </w:r>
      <w:proofErr w:type="gramEnd"/>
      <w:r w:rsidRPr="00832233">
        <w:rPr>
          <w:rFonts w:ascii="Times New Roman" w:hAnsi="Times New Roman"/>
          <w:sz w:val="24"/>
          <w:szCs w:val="24"/>
        </w:rPr>
        <w:t>, invade Jerusalém e deporta grande parte de seus habitantes.</w:t>
      </w:r>
    </w:p>
    <w:p w:rsidR="00832233" w:rsidRDefault="00832233" w:rsidP="00080A6F">
      <w:pPr>
        <w:pStyle w:val="Textodenotadefim"/>
        <w:jc w:val="both"/>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080A6F" w:rsidRDefault="00080A6F">
      <w:pPr>
        <w:pStyle w:val="Textodenotadefim"/>
        <w:rPr>
          <w:rFonts w:ascii="Times New Roman" w:hAnsi="Times New Roman"/>
          <w:sz w:val="24"/>
          <w:szCs w:val="24"/>
        </w:rPr>
      </w:pPr>
    </w:p>
    <w:p w:rsidR="00080A6F" w:rsidRDefault="00080A6F">
      <w:pPr>
        <w:pStyle w:val="Textodenotadefim"/>
        <w:rPr>
          <w:rFonts w:ascii="Times New Roman" w:hAnsi="Times New Roman"/>
          <w:sz w:val="24"/>
          <w:szCs w:val="24"/>
        </w:rPr>
      </w:pPr>
    </w:p>
    <w:p w:rsidR="00832233" w:rsidRDefault="00832233">
      <w:pPr>
        <w:pStyle w:val="Textodenotadefim"/>
        <w:rPr>
          <w:rFonts w:ascii="Times New Roman" w:hAnsi="Times New Roman"/>
          <w:sz w:val="24"/>
          <w:szCs w:val="24"/>
        </w:rPr>
      </w:pPr>
    </w:p>
    <w:p w:rsidR="00832233" w:rsidRPr="0074535D" w:rsidRDefault="00832233" w:rsidP="00080A6F">
      <w:pPr>
        <w:pStyle w:val="Textodenotadefim"/>
        <w:jc w:val="both"/>
        <w:rPr>
          <w:rFonts w:ascii="Times New Roman" w:hAnsi="Times New Roman"/>
          <w:b/>
          <w:sz w:val="24"/>
          <w:szCs w:val="24"/>
        </w:rPr>
      </w:pPr>
      <w:r w:rsidRPr="0074535D">
        <w:rPr>
          <w:rFonts w:ascii="Times New Roman" w:hAnsi="Times New Roman"/>
          <w:b/>
          <w:sz w:val="24"/>
          <w:szCs w:val="24"/>
        </w:rPr>
        <w:t>Referências Bibliográficas</w:t>
      </w:r>
    </w:p>
    <w:p w:rsidR="00832233" w:rsidRPr="0074535D" w:rsidRDefault="00832233" w:rsidP="00080A6F">
      <w:pPr>
        <w:pStyle w:val="Textodenotadefim"/>
        <w:jc w:val="both"/>
        <w:rPr>
          <w:rFonts w:ascii="Times New Roman" w:hAnsi="Times New Roman"/>
          <w:sz w:val="24"/>
          <w:szCs w:val="24"/>
        </w:rPr>
      </w:pPr>
    </w:p>
    <w:p w:rsidR="00832233" w:rsidRPr="0074535D" w:rsidRDefault="00832233" w:rsidP="00080A6F">
      <w:pPr>
        <w:pStyle w:val="Textodenotadefim"/>
        <w:jc w:val="both"/>
        <w:rPr>
          <w:rFonts w:ascii="Times New Roman" w:hAnsi="Times New Roman"/>
          <w:b/>
          <w:sz w:val="24"/>
          <w:szCs w:val="24"/>
        </w:rPr>
      </w:pPr>
      <w:r w:rsidRPr="0074535D">
        <w:rPr>
          <w:rFonts w:ascii="Times New Roman" w:hAnsi="Times New Roman"/>
          <w:b/>
          <w:sz w:val="24"/>
          <w:szCs w:val="24"/>
        </w:rPr>
        <w:t>Documentação Textual</w:t>
      </w:r>
    </w:p>
    <w:p w:rsidR="00832233" w:rsidRPr="0074535D" w:rsidRDefault="00832233" w:rsidP="00080A6F">
      <w:pPr>
        <w:pStyle w:val="Textodenotadefim"/>
        <w:jc w:val="both"/>
        <w:rPr>
          <w:rFonts w:ascii="Times New Roman" w:hAnsi="Times New Roman"/>
          <w:sz w:val="24"/>
          <w:szCs w:val="24"/>
        </w:rPr>
      </w:pPr>
    </w:p>
    <w:p w:rsidR="00832233" w:rsidRPr="0074535D" w:rsidRDefault="00832233" w:rsidP="00080A6F">
      <w:pPr>
        <w:spacing w:line="240" w:lineRule="auto"/>
        <w:jc w:val="both"/>
        <w:rPr>
          <w:rFonts w:ascii="Times New Roman" w:hAnsi="Times New Roman"/>
          <w:sz w:val="24"/>
          <w:szCs w:val="24"/>
        </w:rPr>
      </w:pPr>
      <w:r w:rsidRPr="0074535D">
        <w:rPr>
          <w:rFonts w:ascii="Times New Roman" w:hAnsi="Times New Roman"/>
          <w:b/>
          <w:sz w:val="24"/>
          <w:szCs w:val="24"/>
        </w:rPr>
        <w:t xml:space="preserve">TORÁ. A Lei de Moisés. </w:t>
      </w:r>
      <w:r w:rsidRPr="0074535D">
        <w:rPr>
          <w:rFonts w:ascii="Times New Roman" w:hAnsi="Times New Roman"/>
          <w:sz w:val="24"/>
          <w:szCs w:val="24"/>
        </w:rPr>
        <w:t xml:space="preserve">Edição revisada e ampliada da obra A Lei de Moisés (de </w:t>
      </w:r>
      <w:proofErr w:type="spellStart"/>
      <w:r w:rsidRPr="0074535D">
        <w:rPr>
          <w:rFonts w:ascii="Times New Roman" w:hAnsi="Times New Roman"/>
          <w:sz w:val="24"/>
          <w:szCs w:val="24"/>
        </w:rPr>
        <w:t>Meir</w:t>
      </w:r>
      <w:proofErr w:type="spellEnd"/>
      <w:r w:rsidRPr="0074535D">
        <w:rPr>
          <w:rFonts w:ascii="Times New Roman" w:hAnsi="Times New Roman"/>
          <w:sz w:val="24"/>
          <w:szCs w:val="24"/>
        </w:rPr>
        <w:t xml:space="preserve"> </w:t>
      </w:r>
      <w:proofErr w:type="spellStart"/>
      <w:r w:rsidRPr="0074535D">
        <w:rPr>
          <w:rFonts w:ascii="Times New Roman" w:hAnsi="Times New Roman"/>
          <w:sz w:val="24"/>
          <w:szCs w:val="24"/>
        </w:rPr>
        <w:t>Matzliach</w:t>
      </w:r>
      <w:proofErr w:type="spellEnd"/>
      <w:r w:rsidRPr="0074535D">
        <w:rPr>
          <w:rFonts w:ascii="Times New Roman" w:hAnsi="Times New Roman"/>
          <w:sz w:val="24"/>
          <w:szCs w:val="24"/>
        </w:rPr>
        <w:t xml:space="preserve"> </w:t>
      </w:r>
      <w:proofErr w:type="spellStart"/>
      <w:r w:rsidRPr="0074535D">
        <w:rPr>
          <w:rFonts w:ascii="Times New Roman" w:hAnsi="Times New Roman"/>
          <w:sz w:val="24"/>
          <w:szCs w:val="24"/>
        </w:rPr>
        <w:t>Melamed</w:t>
      </w:r>
      <w:proofErr w:type="spellEnd"/>
      <w:r w:rsidRPr="0074535D">
        <w:rPr>
          <w:rFonts w:ascii="Times New Roman" w:hAnsi="Times New Roman"/>
          <w:sz w:val="24"/>
          <w:szCs w:val="24"/>
        </w:rPr>
        <w:t xml:space="preserve">) e as </w:t>
      </w:r>
      <w:proofErr w:type="spellStart"/>
      <w:r w:rsidRPr="0074535D">
        <w:rPr>
          <w:rFonts w:ascii="Times New Roman" w:hAnsi="Times New Roman"/>
          <w:sz w:val="24"/>
          <w:szCs w:val="24"/>
        </w:rPr>
        <w:t>Haftarót</w:t>
      </w:r>
      <w:proofErr w:type="spellEnd"/>
      <w:r w:rsidRPr="0074535D">
        <w:rPr>
          <w:rFonts w:ascii="Times New Roman" w:hAnsi="Times New Roman"/>
          <w:sz w:val="24"/>
          <w:szCs w:val="24"/>
        </w:rPr>
        <w:t xml:space="preserve">. Inclui a tradução das Cinco </w:t>
      </w:r>
      <w:proofErr w:type="spellStart"/>
      <w:r w:rsidRPr="0074535D">
        <w:rPr>
          <w:rFonts w:ascii="Times New Roman" w:hAnsi="Times New Roman"/>
          <w:sz w:val="24"/>
          <w:szCs w:val="24"/>
        </w:rPr>
        <w:t>Meguilot</w:t>
      </w:r>
      <w:proofErr w:type="spellEnd"/>
      <w:r w:rsidRPr="0074535D">
        <w:rPr>
          <w:rFonts w:ascii="Times New Roman" w:hAnsi="Times New Roman"/>
          <w:sz w:val="24"/>
          <w:szCs w:val="24"/>
        </w:rPr>
        <w:t xml:space="preserve"> por David </w:t>
      </w:r>
      <w:proofErr w:type="spellStart"/>
      <w:r w:rsidRPr="0074535D">
        <w:rPr>
          <w:rFonts w:ascii="Times New Roman" w:hAnsi="Times New Roman"/>
          <w:sz w:val="24"/>
          <w:szCs w:val="24"/>
        </w:rPr>
        <w:t>Gorodovits</w:t>
      </w:r>
      <w:proofErr w:type="spellEnd"/>
      <w:r w:rsidRPr="0074535D">
        <w:rPr>
          <w:rFonts w:ascii="Times New Roman" w:hAnsi="Times New Roman"/>
          <w:sz w:val="24"/>
          <w:szCs w:val="24"/>
        </w:rPr>
        <w:t xml:space="preserve"> e Ruben </w:t>
      </w:r>
      <w:proofErr w:type="spellStart"/>
      <w:r w:rsidRPr="0074535D">
        <w:rPr>
          <w:rFonts w:ascii="Times New Roman" w:hAnsi="Times New Roman"/>
          <w:sz w:val="24"/>
          <w:szCs w:val="24"/>
        </w:rPr>
        <w:t>Najmanovich</w:t>
      </w:r>
      <w:proofErr w:type="spellEnd"/>
      <w:r w:rsidRPr="0074535D">
        <w:rPr>
          <w:rFonts w:ascii="Times New Roman" w:hAnsi="Times New Roman"/>
          <w:sz w:val="24"/>
          <w:szCs w:val="24"/>
        </w:rPr>
        <w:t xml:space="preserve">. São Paulo: </w:t>
      </w:r>
      <w:proofErr w:type="spellStart"/>
      <w:r w:rsidRPr="0074535D">
        <w:rPr>
          <w:rFonts w:ascii="Times New Roman" w:hAnsi="Times New Roman"/>
          <w:sz w:val="24"/>
          <w:szCs w:val="24"/>
        </w:rPr>
        <w:t>Sefer</w:t>
      </w:r>
      <w:proofErr w:type="spellEnd"/>
      <w:r w:rsidRPr="0074535D">
        <w:rPr>
          <w:rFonts w:ascii="Times New Roman" w:hAnsi="Times New Roman"/>
          <w:sz w:val="24"/>
          <w:szCs w:val="24"/>
        </w:rPr>
        <w:t xml:space="preserve">, 2001.  </w:t>
      </w:r>
    </w:p>
    <w:p w:rsidR="00832233" w:rsidRPr="0074535D" w:rsidRDefault="00832233" w:rsidP="00080A6F">
      <w:pPr>
        <w:pStyle w:val="Textodenotadefim"/>
        <w:jc w:val="both"/>
        <w:rPr>
          <w:rFonts w:ascii="Times New Roman" w:hAnsi="Times New Roman"/>
          <w:sz w:val="24"/>
          <w:szCs w:val="24"/>
        </w:rPr>
      </w:pPr>
    </w:p>
    <w:p w:rsidR="00832233" w:rsidRDefault="00832233" w:rsidP="00080A6F">
      <w:pPr>
        <w:pStyle w:val="Textodenotadefim"/>
        <w:jc w:val="both"/>
        <w:rPr>
          <w:rFonts w:ascii="Times New Roman" w:hAnsi="Times New Roman"/>
          <w:b/>
          <w:sz w:val="24"/>
          <w:szCs w:val="24"/>
        </w:rPr>
      </w:pPr>
      <w:r w:rsidRPr="0074535D">
        <w:rPr>
          <w:rFonts w:ascii="Times New Roman" w:hAnsi="Times New Roman"/>
          <w:b/>
          <w:sz w:val="24"/>
          <w:szCs w:val="24"/>
        </w:rPr>
        <w:t>Bibliografia</w:t>
      </w:r>
    </w:p>
    <w:p w:rsidR="0074535D" w:rsidRDefault="0074535D" w:rsidP="00080A6F">
      <w:pPr>
        <w:pStyle w:val="Textodenotadefim"/>
        <w:jc w:val="both"/>
        <w:rPr>
          <w:rFonts w:ascii="Times New Roman" w:hAnsi="Times New Roman"/>
          <w:b/>
          <w:sz w:val="24"/>
          <w:szCs w:val="24"/>
        </w:rPr>
      </w:pPr>
    </w:p>
    <w:p w:rsid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lang w:val="en-US"/>
        </w:rPr>
        <w:t xml:space="preserve">APPLEBAUM, Shimon. </w:t>
      </w:r>
      <w:proofErr w:type="gramStart"/>
      <w:r w:rsidRPr="0074535D">
        <w:rPr>
          <w:rFonts w:ascii="Times New Roman" w:hAnsi="Times New Roman"/>
          <w:sz w:val="24"/>
          <w:szCs w:val="24"/>
          <w:lang w:val="en-US"/>
        </w:rPr>
        <w:t>Josephus and the economic causes of the Jewish War.</w:t>
      </w:r>
      <w:proofErr w:type="gramEnd"/>
      <w:r w:rsidRPr="0074535D">
        <w:rPr>
          <w:rFonts w:ascii="Times New Roman" w:hAnsi="Times New Roman"/>
          <w:sz w:val="24"/>
          <w:szCs w:val="24"/>
          <w:lang w:val="en-US"/>
        </w:rPr>
        <w:t xml:space="preserve"> In:</w:t>
      </w:r>
      <w:r w:rsidRPr="0074535D">
        <w:rPr>
          <w:rFonts w:ascii="Times New Roman" w:hAnsi="Times New Roman"/>
          <w:i/>
          <w:sz w:val="24"/>
          <w:szCs w:val="24"/>
          <w:lang w:val="en-US"/>
        </w:rPr>
        <w:t xml:space="preserve"> </w:t>
      </w:r>
      <w:r w:rsidRPr="0074535D">
        <w:rPr>
          <w:rFonts w:ascii="Times New Roman" w:hAnsi="Times New Roman"/>
          <w:b/>
          <w:bCs/>
          <w:iCs/>
          <w:sz w:val="24"/>
          <w:szCs w:val="24"/>
          <w:lang w:val="en-US"/>
        </w:rPr>
        <w:t>Josephus, the Bible, and history.</w:t>
      </w:r>
      <w:r w:rsidRPr="0074535D">
        <w:rPr>
          <w:rFonts w:ascii="Times New Roman" w:hAnsi="Times New Roman"/>
          <w:sz w:val="24"/>
          <w:szCs w:val="24"/>
          <w:lang w:val="en-US"/>
        </w:rPr>
        <w:t xml:space="preserve"> Org.: Louis H. Feldman &amp; </w:t>
      </w:r>
      <w:proofErr w:type="spellStart"/>
      <w:r w:rsidRPr="0074535D">
        <w:rPr>
          <w:rFonts w:ascii="Times New Roman" w:hAnsi="Times New Roman"/>
          <w:sz w:val="24"/>
          <w:szCs w:val="24"/>
          <w:lang w:val="en-US"/>
        </w:rPr>
        <w:t>Gohei</w:t>
      </w:r>
      <w:proofErr w:type="spellEnd"/>
      <w:r w:rsidRPr="0074535D">
        <w:rPr>
          <w:rFonts w:ascii="Times New Roman" w:hAnsi="Times New Roman"/>
          <w:sz w:val="24"/>
          <w:szCs w:val="24"/>
          <w:lang w:val="en-US"/>
        </w:rPr>
        <w:t xml:space="preserve"> </w:t>
      </w:r>
      <w:proofErr w:type="spellStart"/>
      <w:r w:rsidRPr="0074535D">
        <w:rPr>
          <w:rFonts w:ascii="Times New Roman" w:hAnsi="Times New Roman"/>
          <w:sz w:val="24"/>
          <w:szCs w:val="24"/>
          <w:lang w:val="en-US"/>
        </w:rPr>
        <w:t>Hata</w:t>
      </w:r>
      <w:proofErr w:type="spellEnd"/>
      <w:r w:rsidRPr="0074535D">
        <w:rPr>
          <w:rFonts w:ascii="Times New Roman" w:hAnsi="Times New Roman"/>
          <w:sz w:val="24"/>
          <w:szCs w:val="24"/>
          <w:lang w:val="en-US"/>
        </w:rPr>
        <w:t xml:space="preserve">. </w:t>
      </w:r>
      <w:r w:rsidRPr="0074535D">
        <w:rPr>
          <w:rFonts w:ascii="Times New Roman" w:hAnsi="Times New Roman"/>
          <w:sz w:val="24"/>
          <w:szCs w:val="24"/>
        </w:rPr>
        <w:t xml:space="preserve">Detroit: </w:t>
      </w:r>
      <w:proofErr w:type="gramStart"/>
      <w:r w:rsidRPr="0074535D">
        <w:rPr>
          <w:rFonts w:ascii="Times New Roman" w:hAnsi="Times New Roman"/>
          <w:sz w:val="24"/>
          <w:szCs w:val="24"/>
        </w:rPr>
        <w:t xml:space="preserve">MI, Wayne </w:t>
      </w:r>
      <w:proofErr w:type="spellStart"/>
      <w:r w:rsidRPr="0074535D">
        <w:rPr>
          <w:rFonts w:ascii="Times New Roman" w:hAnsi="Times New Roman"/>
          <w:sz w:val="24"/>
          <w:szCs w:val="24"/>
        </w:rPr>
        <w:t>State</w:t>
      </w:r>
      <w:proofErr w:type="spellEnd"/>
      <w:proofErr w:type="gramEnd"/>
      <w:r w:rsidRPr="0074535D">
        <w:rPr>
          <w:rFonts w:ascii="Times New Roman" w:hAnsi="Times New Roman"/>
          <w:sz w:val="24"/>
          <w:szCs w:val="24"/>
        </w:rPr>
        <w:t xml:space="preserve"> Univ. Press, 1989.</w:t>
      </w:r>
    </w:p>
    <w:p w:rsidR="0074535D" w:rsidRP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BARRERA, Julio </w:t>
      </w:r>
      <w:proofErr w:type="spellStart"/>
      <w:r w:rsidRPr="0074535D">
        <w:rPr>
          <w:rFonts w:ascii="Times New Roman" w:hAnsi="Times New Roman"/>
          <w:sz w:val="24"/>
          <w:szCs w:val="24"/>
        </w:rPr>
        <w:t>Trebolle</w:t>
      </w:r>
      <w:proofErr w:type="spellEnd"/>
      <w:r w:rsidRPr="0074535D">
        <w:rPr>
          <w:rFonts w:ascii="Times New Roman" w:hAnsi="Times New Roman"/>
          <w:sz w:val="24"/>
          <w:szCs w:val="24"/>
        </w:rPr>
        <w:t xml:space="preserve">. </w:t>
      </w:r>
      <w:r w:rsidRPr="0074535D">
        <w:rPr>
          <w:rFonts w:ascii="Times New Roman" w:hAnsi="Times New Roman"/>
          <w:b/>
          <w:sz w:val="24"/>
          <w:szCs w:val="24"/>
        </w:rPr>
        <w:t xml:space="preserve">A Bíblia Judaica e a Bíblia Cristã </w:t>
      </w:r>
      <w:r w:rsidRPr="0074535D">
        <w:rPr>
          <w:rFonts w:ascii="Times New Roman" w:hAnsi="Times New Roman"/>
          <w:sz w:val="24"/>
          <w:szCs w:val="24"/>
        </w:rPr>
        <w:t>– Introdução à história da Bíblia. 2ª ed. Petrópolis: Vozes, 1999.</w:t>
      </w:r>
    </w:p>
    <w:p w:rsidR="0074535D" w:rsidRP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CROSSAN, John </w:t>
      </w:r>
      <w:proofErr w:type="spellStart"/>
      <w:r w:rsidRPr="0074535D">
        <w:rPr>
          <w:rFonts w:ascii="Times New Roman" w:hAnsi="Times New Roman"/>
          <w:sz w:val="24"/>
          <w:szCs w:val="24"/>
        </w:rPr>
        <w:t>Dominic</w:t>
      </w:r>
      <w:proofErr w:type="spellEnd"/>
      <w:r w:rsidRPr="0074535D">
        <w:rPr>
          <w:rFonts w:ascii="Times New Roman" w:hAnsi="Times New Roman"/>
          <w:sz w:val="24"/>
          <w:szCs w:val="24"/>
        </w:rPr>
        <w:t xml:space="preserve">. </w:t>
      </w:r>
      <w:r w:rsidRPr="0074535D">
        <w:rPr>
          <w:rFonts w:ascii="Times New Roman" w:hAnsi="Times New Roman"/>
          <w:b/>
          <w:bCs/>
          <w:iCs/>
          <w:sz w:val="24"/>
          <w:szCs w:val="24"/>
        </w:rPr>
        <w:t>O Nascimento do Cristianismo</w:t>
      </w:r>
      <w:r w:rsidRPr="0074535D">
        <w:rPr>
          <w:rFonts w:ascii="Times New Roman" w:hAnsi="Times New Roman"/>
          <w:sz w:val="24"/>
          <w:szCs w:val="24"/>
        </w:rPr>
        <w:t xml:space="preserve">. Trad. Barbara </w:t>
      </w:r>
      <w:proofErr w:type="spellStart"/>
      <w:r w:rsidRPr="0074535D">
        <w:rPr>
          <w:rFonts w:ascii="Times New Roman" w:hAnsi="Times New Roman"/>
          <w:sz w:val="24"/>
          <w:szCs w:val="24"/>
        </w:rPr>
        <w:t>Theoto</w:t>
      </w:r>
      <w:proofErr w:type="spellEnd"/>
      <w:r w:rsidRPr="0074535D">
        <w:rPr>
          <w:rFonts w:ascii="Times New Roman" w:hAnsi="Times New Roman"/>
          <w:sz w:val="24"/>
          <w:szCs w:val="24"/>
        </w:rPr>
        <w:t xml:space="preserve"> </w:t>
      </w:r>
      <w:proofErr w:type="spellStart"/>
      <w:r w:rsidRPr="0074535D">
        <w:rPr>
          <w:rFonts w:ascii="Times New Roman" w:hAnsi="Times New Roman"/>
          <w:sz w:val="24"/>
          <w:szCs w:val="24"/>
        </w:rPr>
        <w:t>Lambert</w:t>
      </w:r>
      <w:proofErr w:type="spellEnd"/>
      <w:r w:rsidRPr="0074535D">
        <w:rPr>
          <w:rFonts w:ascii="Times New Roman" w:hAnsi="Times New Roman"/>
          <w:sz w:val="24"/>
          <w:szCs w:val="24"/>
        </w:rPr>
        <w:t>. São Paulo: Paulinas, 2004</w:t>
      </w:r>
    </w:p>
    <w:p w:rsidR="0074535D" w:rsidRP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DETIENNE, Marcel. </w:t>
      </w:r>
      <w:r w:rsidRPr="0074535D">
        <w:rPr>
          <w:rFonts w:ascii="Times New Roman" w:hAnsi="Times New Roman"/>
          <w:b/>
          <w:bCs/>
          <w:sz w:val="24"/>
          <w:szCs w:val="24"/>
        </w:rPr>
        <w:t>Comparar o Incomparável</w:t>
      </w:r>
      <w:r w:rsidRPr="0074535D">
        <w:rPr>
          <w:rFonts w:ascii="Times New Roman" w:hAnsi="Times New Roman"/>
          <w:sz w:val="24"/>
          <w:szCs w:val="24"/>
        </w:rPr>
        <w:t>. Aparecida, SP: Idéias &amp; Letras, 2004.</w:t>
      </w:r>
    </w:p>
    <w:p w:rsidR="0074535D" w:rsidRP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rPr>
        <w:t>DI NOLA, Alfonso. Livro. In</w:t>
      </w:r>
      <w:proofErr w:type="gramStart"/>
      <w:r w:rsidRPr="0074535D">
        <w:rPr>
          <w:rFonts w:ascii="Times New Roman" w:hAnsi="Times New Roman"/>
          <w:sz w:val="24"/>
          <w:szCs w:val="24"/>
        </w:rPr>
        <w:t>.:</w:t>
      </w:r>
      <w:proofErr w:type="gramEnd"/>
      <w:r w:rsidRPr="0074535D">
        <w:rPr>
          <w:rFonts w:ascii="Times New Roman" w:hAnsi="Times New Roman"/>
          <w:sz w:val="24"/>
          <w:szCs w:val="24"/>
        </w:rPr>
        <w:t xml:space="preserve"> </w:t>
      </w:r>
      <w:r w:rsidRPr="0074535D">
        <w:rPr>
          <w:rFonts w:ascii="Times New Roman" w:hAnsi="Times New Roman"/>
          <w:b/>
          <w:bCs/>
          <w:sz w:val="24"/>
          <w:szCs w:val="24"/>
        </w:rPr>
        <w:t xml:space="preserve">Enciclopédia </w:t>
      </w:r>
      <w:proofErr w:type="spellStart"/>
      <w:r w:rsidRPr="0074535D">
        <w:rPr>
          <w:rFonts w:ascii="Times New Roman" w:hAnsi="Times New Roman"/>
          <w:b/>
          <w:bCs/>
          <w:sz w:val="24"/>
          <w:szCs w:val="24"/>
        </w:rPr>
        <w:t>Einaudi</w:t>
      </w:r>
      <w:proofErr w:type="spellEnd"/>
      <w:r w:rsidRPr="0074535D">
        <w:rPr>
          <w:rFonts w:ascii="Times New Roman" w:hAnsi="Times New Roman"/>
          <w:sz w:val="24"/>
          <w:szCs w:val="24"/>
        </w:rPr>
        <w:t>. Lisboa: Imprensa Nacional – Casa da Moeda, 1987. Vol.12, pp.215-242.</w:t>
      </w:r>
    </w:p>
    <w:p w:rsidR="0074535D" w:rsidRPr="001A0C3B" w:rsidRDefault="0074535D" w:rsidP="00080A6F">
      <w:pPr>
        <w:tabs>
          <w:tab w:val="left" w:pos="3119"/>
        </w:tabs>
        <w:spacing w:line="240" w:lineRule="auto"/>
        <w:jc w:val="both"/>
        <w:rPr>
          <w:rFonts w:ascii="Times New Roman" w:hAnsi="Times New Roman"/>
          <w:sz w:val="24"/>
          <w:szCs w:val="24"/>
        </w:rPr>
      </w:pPr>
      <w:r>
        <w:rPr>
          <w:rFonts w:ascii="Times New Roman" w:hAnsi="Times New Roman"/>
          <w:sz w:val="24"/>
          <w:szCs w:val="24"/>
        </w:rPr>
        <w:t>FERREIRA, Cláudia Andréia Prata</w:t>
      </w:r>
      <w:r w:rsidRPr="0074535D">
        <w:rPr>
          <w:rFonts w:ascii="Times New Roman" w:hAnsi="Times New Roman"/>
          <w:sz w:val="24"/>
          <w:szCs w:val="24"/>
        </w:rPr>
        <w:t xml:space="preserve">. </w:t>
      </w:r>
      <w:r w:rsidRPr="0074535D">
        <w:rPr>
          <w:rFonts w:ascii="Times New Roman" w:hAnsi="Times New Roman"/>
          <w:b/>
          <w:bCs/>
          <w:sz w:val="24"/>
          <w:szCs w:val="24"/>
        </w:rPr>
        <w:t>Estudos bíblicos e judaísmo</w:t>
      </w:r>
      <w:r w:rsidRPr="0074535D">
        <w:rPr>
          <w:rFonts w:ascii="Times New Roman" w:hAnsi="Times New Roman"/>
          <w:i/>
          <w:iCs/>
          <w:sz w:val="24"/>
          <w:szCs w:val="24"/>
        </w:rPr>
        <w:t>:</w:t>
      </w:r>
      <w:r w:rsidRPr="0074535D">
        <w:rPr>
          <w:rFonts w:ascii="Times New Roman" w:hAnsi="Times New Roman"/>
          <w:sz w:val="24"/>
          <w:szCs w:val="24"/>
        </w:rPr>
        <w:t xml:space="preserve"> Introdução ao estudo do texto hebraico bíblico (cânone judaico). Manual elaborado para a disciplina de Literatura Hebraica 1. </w:t>
      </w:r>
      <w:r w:rsidRPr="001A0C3B">
        <w:rPr>
          <w:rFonts w:ascii="Times New Roman" w:hAnsi="Times New Roman"/>
          <w:sz w:val="24"/>
          <w:szCs w:val="24"/>
        </w:rPr>
        <w:t>Rio de Janeiro: [s.n.], 2009.</w:t>
      </w:r>
    </w:p>
    <w:p w:rsidR="0074535D" w:rsidRPr="0074535D" w:rsidRDefault="0074535D" w:rsidP="00080A6F">
      <w:pPr>
        <w:spacing w:line="240" w:lineRule="auto"/>
        <w:jc w:val="both"/>
        <w:rPr>
          <w:rFonts w:ascii="Times New Roman" w:hAnsi="Times New Roman"/>
          <w:sz w:val="24"/>
          <w:szCs w:val="24"/>
          <w:lang w:val="en-US"/>
        </w:rPr>
      </w:pPr>
      <w:proofErr w:type="gramStart"/>
      <w:r w:rsidRPr="0074535D">
        <w:rPr>
          <w:rFonts w:ascii="Times New Roman" w:hAnsi="Times New Roman"/>
          <w:sz w:val="24"/>
          <w:szCs w:val="24"/>
          <w:lang w:val="en-US"/>
        </w:rPr>
        <w:t>FINLEY, Moses I. Aristotle and Economic Analysis.</w:t>
      </w:r>
      <w:proofErr w:type="gramEnd"/>
      <w:r w:rsidRPr="0074535D">
        <w:rPr>
          <w:rFonts w:ascii="Times New Roman" w:hAnsi="Times New Roman"/>
          <w:sz w:val="24"/>
          <w:szCs w:val="24"/>
          <w:lang w:val="en-US"/>
        </w:rPr>
        <w:t xml:space="preserve"> In: </w:t>
      </w:r>
      <w:r w:rsidRPr="0074535D">
        <w:rPr>
          <w:rFonts w:ascii="Times New Roman" w:hAnsi="Times New Roman"/>
          <w:b/>
          <w:bCs/>
          <w:iCs/>
          <w:sz w:val="24"/>
          <w:szCs w:val="24"/>
          <w:lang w:val="en-US"/>
        </w:rPr>
        <w:t>Studies in Ancient Society</w:t>
      </w:r>
      <w:r w:rsidRPr="0074535D">
        <w:rPr>
          <w:rFonts w:ascii="Times New Roman" w:hAnsi="Times New Roman"/>
          <w:i/>
          <w:sz w:val="24"/>
          <w:szCs w:val="24"/>
          <w:lang w:val="en-US"/>
        </w:rPr>
        <w:t>.</w:t>
      </w:r>
      <w:r w:rsidRPr="0074535D">
        <w:rPr>
          <w:rFonts w:ascii="Times New Roman" w:hAnsi="Times New Roman"/>
          <w:sz w:val="24"/>
          <w:szCs w:val="24"/>
          <w:lang w:val="en-US"/>
        </w:rPr>
        <w:t xml:space="preserve"> </w:t>
      </w:r>
      <w:proofErr w:type="gramStart"/>
      <w:r w:rsidRPr="0074535D">
        <w:rPr>
          <w:rFonts w:ascii="Times New Roman" w:hAnsi="Times New Roman"/>
          <w:sz w:val="24"/>
          <w:szCs w:val="24"/>
          <w:lang w:val="en-US"/>
        </w:rPr>
        <w:t>Org. ______.</w:t>
      </w:r>
      <w:proofErr w:type="gramEnd"/>
      <w:r w:rsidRPr="0074535D">
        <w:rPr>
          <w:rFonts w:ascii="Times New Roman" w:hAnsi="Times New Roman"/>
          <w:sz w:val="24"/>
          <w:szCs w:val="24"/>
          <w:lang w:val="en-US"/>
        </w:rPr>
        <w:t xml:space="preserve"> London: Rutledge and </w:t>
      </w:r>
      <w:proofErr w:type="spellStart"/>
      <w:r w:rsidRPr="0074535D">
        <w:rPr>
          <w:rFonts w:ascii="Times New Roman" w:hAnsi="Times New Roman"/>
          <w:sz w:val="24"/>
          <w:szCs w:val="24"/>
          <w:lang w:val="en-US"/>
        </w:rPr>
        <w:t>Kegan</w:t>
      </w:r>
      <w:proofErr w:type="spellEnd"/>
      <w:r w:rsidRPr="0074535D">
        <w:rPr>
          <w:rFonts w:ascii="Times New Roman" w:hAnsi="Times New Roman"/>
          <w:sz w:val="24"/>
          <w:szCs w:val="24"/>
          <w:lang w:val="en-US"/>
        </w:rPr>
        <w:t xml:space="preserve"> Paul, 1974 (Past and Present Series [</w:t>
      </w:r>
      <w:proofErr w:type="spellStart"/>
      <w:r w:rsidRPr="0074535D">
        <w:rPr>
          <w:rFonts w:ascii="Times New Roman" w:hAnsi="Times New Roman"/>
          <w:sz w:val="24"/>
          <w:szCs w:val="24"/>
          <w:lang w:val="en-US"/>
        </w:rPr>
        <w:t>artigo</w:t>
      </w:r>
      <w:proofErr w:type="spellEnd"/>
      <w:r w:rsidRPr="0074535D">
        <w:rPr>
          <w:rFonts w:ascii="Times New Roman" w:hAnsi="Times New Roman"/>
          <w:sz w:val="24"/>
          <w:szCs w:val="24"/>
          <w:lang w:val="en-US"/>
        </w:rPr>
        <w:t xml:space="preserve"> de 1970]).</w:t>
      </w:r>
    </w:p>
    <w:p w:rsidR="0074535D" w:rsidRPr="0074535D" w:rsidRDefault="0074535D" w:rsidP="00080A6F">
      <w:pPr>
        <w:spacing w:line="240" w:lineRule="auto"/>
        <w:jc w:val="both"/>
        <w:rPr>
          <w:rFonts w:ascii="Times New Roman" w:hAnsi="Times New Roman"/>
          <w:snapToGrid w:val="0"/>
          <w:sz w:val="24"/>
          <w:szCs w:val="24"/>
          <w:lang w:val="en-US"/>
        </w:rPr>
      </w:pPr>
      <w:r w:rsidRPr="0074535D">
        <w:rPr>
          <w:rFonts w:ascii="Times New Roman" w:hAnsi="Times New Roman"/>
          <w:snapToGrid w:val="0"/>
          <w:sz w:val="24"/>
          <w:szCs w:val="24"/>
          <w:lang w:val="en-US"/>
        </w:rPr>
        <w:t xml:space="preserve">HAMILTON, Catherine Sider. "His Blood Be upon Us": Innocent Blood and the Death of Jesus in Matthew. In.: </w:t>
      </w:r>
      <w:r w:rsidRPr="0074535D">
        <w:rPr>
          <w:rFonts w:ascii="Times New Roman" w:hAnsi="Times New Roman"/>
          <w:b/>
          <w:bCs/>
          <w:snapToGrid w:val="0"/>
          <w:sz w:val="24"/>
          <w:szCs w:val="24"/>
          <w:lang w:val="en-US"/>
        </w:rPr>
        <w:t>The Catholic Biblical Quarterly</w:t>
      </w:r>
      <w:r w:rsidRPr="0074535D">
        <w:rPr>
          <w:rFonts w:ascii="Times New Roman" w:hAnsi="Times New Roman"/>
          <w:snapToGrid w:val="0"/>
          <w:sz w:val="24"/>
          <w:szCs w:val="24"/>
          <w:lang w:val="en-US"/>
        </w:rPr>
        <w:t>,</w:t>
      </w:r>
      <w:r w:rsidRPr="0074535D">
        <w:rPr>
          <w:rFonts w:ascii="Times New Roman" w:hAnsi="Times New Roman"/>
          <w:i/>
          <w:iCs/>
          <w:snapToGrid w:val="0"/>
          <w:sz w:val="24"/>
          <w:szCs w:val="24"/>
          <w:lang w:val="en-US"/>
        </w:rPr>
        <w:t xml:space="preserve"> </w:t>
      </w:r>
      <w:r w:rsidRPr="0074535D">
        <w:rPr>
          <w:rFonts w:ascii="Times New Roman" w:hAnsi="Times New Roman"/>
          <w:snapToGrid w:val="0"/>
          <w:sz w:val="24"/>
          <w:szCs w:val="24"/>
          <w:lang w:val="en-US"/>
        </w:rPr>
        <w:t>Washington, n</w:t>
      </w:r>
      <w:proofErr w:type="gramStart"/>
      <w:r w:rsidRPr="0074535D">
        <w:rPr>
          <w:rFonts w:ascii="Times New Roman" w:hAnsi="Times New Roman"/>
          <w:snapToGrid w:val="0"/>
          <w:sz w:val="24"/>
          <w:szCs w:val="24"/>
          <w:lang w:val="en-US"/>
        </w:rPr>
        <w:t>.°</w:t>
      </w:r>
      <w:proofErr w:type="gramEnd"/>
      <w:r w:rsidRPr="0074535D">
        <w:rPr>
          <w:rFonts w:ascii="Times New Roman" w:hAnsi="Times New Roman"/>
          <w:snapToGrid w:val="0"/>
          <w:sz w:val="24"/>
          <w:szCs w:val="24"/>
          <w:lang w:val="en-US"/>
        </w:rPr>
        <w:t xml:space="preserve"> 70, p. 82-100, </w:t>
      </w:r>
      <w:proofErr w:type="spellStart"/>
      <w:r w:rsidRPr="0074535D">
        <w:rPr>
          <w:rFonts w:ascii="Times New Roman" w:hAnsi="Times New Roman"/>
          <w:snapToGrid w:val="0"/>
          <w:sz w:val="24"/>
          <w:szCs w:val="24"/>
          <w:lang w:val="en-US"/>
        </w:rPr>
        <w:t>jan</w:t>
      </w:r>
      <w:proofErr w:type="spellEnd"/>
      <w:r w:rsidRPr="0074535D">
        <w:rPr>
          <w:rFonts w:ascii="Times New Roman" w:hAnsi="Times New Roman"/>
          <w:snapToGrid w:val="0"/>
          <w:sz w:val="24"/>
          <w:szCs w:val="24"/>
          <w:lang w:val="en-US"/>
        </w:rPr>
        <w:t>. 2008.</w:t>
      </w:r>
    </w:p>
    <w:p w:rsidR="00D96BAA" w:rsidRPr="0074535D" w:rsidRDefault="00D96BAA" w:rsidP="00080A6F">
      <w:pPr>
        <w:spacing w:line="240" w:lineRule="auto"/>
        <w:jc w:val="both"/>
        <w:rPr>
          <w:rFonts w:ascii="Times New Roman" w:hAnsi="Times New Roman"/>
          <w:sz w:val="24"/>
          <w:szCs w:val="24"/>
        </w:rPr>
      </w:pPr>
      <w:proofErr w:type="gramStart"/>
      <w:r w:rsidRPr="0074535D">
        <w:rPr>
          <w:rFonts w:ascii="Times New Roman" w:hAnsi="Times New Roman"/>
          <w:sz w:val="24"/>
          <w:szCs w:val="24"/>
          <w:lang w:val="en-US"/>
        </w:rPr>
        <w:t>REED, A. Y.; BECKER, A. D. Traditional models and new directions.</w:t>
      </w:r>
      <w:proofErr w:type="gramEnd"/>
      <w:r w:rsidRPr="0074535D">
        <w:rPr>
          <w:rFonts w:ascii="Times New Roman" w:hAnsi="Times New Roman"/>
          <w:sz w:val="24"/>
          <w:szCs w:val="24"/>
          <w:lang w:val="en-US"/>
        </w:rPr>
        <w:t xml:space="preserve"> In.: ______. </w:t>
      </w:r>
      <w:r w:rsidRPr="0074535D">
        <w:rPr>
          <w:rFonts w:ascii="Times New Roman" w:hAnsi="Times New Roman"/>
          <w:b/>
          <w:bCs/>
          <w:sz w:val="24"/>
          <w:szCs w:val="24"/>
          <w:lang w:val="en-US"/>
        </w:rPr>
        <w:t>The ways that never parted</w:t>
      </w:r>
      <w:r w:rsidRPr="0074535D">
        <w:rPr>
          <w:rFonts w:ascii="Times New Roman" w:hAnsi="Times New Roman"/>
          <w:i/>
          <w:iCs/>
          <w:sz w:val="24"/>
          <w:szCs w:val="24"/>
          <w:lang w:val="en-US"/>
        </w:rPr>
        <w:t xml:space="preserve">: </w:t>
      </w:r>
      <w:r w:rsidRPr="0074535D">
        <w:rPr>
          <w:rFonts w:ascii="Times New Roman" w:hAnsi="Times New Roman"/>
          <w:sz w:val="24"/>
          <w:szCs w:val="24"/>
          <w:lang w:val="en-US"/>
        </w:rPr>
        <w:t xml:space="preserve">Jews and Christians in Late Antiquity and the Early Middle Ages. </w:t>
      </w:r>
      <w:r w:rsidRPr="0074535D">
        <w:rPr>
          <w:rFonts w:ascii="Times New Roman" w:hAnsi="Times New Roman"/>
          <w:sz w:val="24"/>
          <w:szCs w:val="24"/>
        </w:rPr>
        <w:t xml:space="preserve">Minneapolis: </w:t>
      </w:r>
      <w:proofErr w:type="spellStart"/>
      <w:r w:rsidRPr="0074535D">
        <w:rPr>
          <w:rFonts w:ascii="Times New Roman" w:hAnsi="Times New Roman"/>
          <w:sz w:val="24"/>
          <w:szCs w:val="24"/>
        </w:rPr>
        <w:t>Fortress</w:t>
      </w:r>
      <w:proofErr w:type="spellEnd"/>
      <w:r w:rsidRPr="0074535D">
        <w:rPr>
          <w:rFonts w:ascii="Times New Roman" w:hAnsi="Times New Roman"/>
          <w:sz w:val="24"/>
          <w:szCs w:val="24"/>
        </w:rPr>
        <w:t xml:space="preserve"> </w:t>
      </w:r>
      <w:proofErr w:type="spellStart"/>
      <w:r w:rsidRPr="0074535D">
        <w:rPr>
          <w:rFonts w:ascii="Times New Roman" w:hAnsi="Times New Roman"/>
          <w:sz w:val="24"/>
          <w:szCs w:val="24"/>
        </w:rPr>
        <w:t>Press</w:t>
      </w:r>
      <w:proofErr w:type="spellEnd"/>
      <w:r w:rsidRPr="0074535D">
        <w:rPr>
          <w:rFonts w:ascii="Times New Roman" w:hAnsi="Times New Roman"/>
          <w:sz w:val="24"/>
          <w:szCs w:val="24"/>
        </w:rPr>
        <w:t>, 2007, p.1-33.</w:t>
      </w:r>
    </w:p>
    <w:p w:rsidR="00832233" w:rsidRDefault="00832233"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SELVATICI, Mônica. Para uma Leitura Histórica da Bíblia. In: </w:t>
      </w:r>
      <w:proofErr w:type="spellStart"/>
      <w:r w:rsidRPr="0074535D">
        <w:rPr>
          <w:rFonts w:ascii="Times New Roman" w:hAnsi="Times New Roman"/>
          <w:b/>
          <w:sz w:val="24"/>
          <w:szCs w:val="24"/>
        </w:rPr>
        <w:t>Gaîa</w:t>
      </w:r>
      <w:proofErr w:type="spellEnd"/>
      <w:r w:rsidRPr="0074535D">
        <w:rPr>
          <w:rFonts w:ascii="Times New Roman" w:hAnsi="Times New Roman"/>
          <w:sz w:val="24"/>
          <w:szCs w:val="24"/>
        </w:rPr>
        <w:t>. Rio de Janeiro: UFRJ. Laboratório de História Antiga/LHIA, n° 2, ano I, 2000.</w:t>
      </w:r>
    </w:p>
    <w:p w:rsidR="00D96BAA" w:rsidRPr="0074535D" w:rsidRDefault="00D96BAA"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SILVA, Gilvan Ventura </w:t>
      </w:r>
      <w:proofErr w:type="gramStart"/>
      <w:r w:rsidRPr="0074535D">
        <w:rPr>
          <w:rFonts w:ascii="Times New Roman" w:hAnsi="Times New Roman"/>
          <w:sz w:val="24"/>
          <w:szCs w:val="24"/>
        </w:rPr>
        <w:t>da.</w:t>
      </w:r>
      <w:proofErr w:type="gramEnd"/>
      <w:r w:rsidRPr="0074535D">
        <w:rPr>
          <w:rFonts w:ascii="Times New Roman" w:hAnsi="Times New Roman"/>
          <w:sz w:val="24"/>
          <w:szCs w:val="24"/>
        </w:rPr>
        <w:t xml:space="preserve"> A Condenação dos Judaizantes nos Concílios Eclesiásticos do Século IV. In</w:t>
      </w:r>
      <w:proofErr w:type="gramStart"/>
      <w:r w:rsidRPr="0074535D">
        <w:rPr>
          <w:rFonts w:ascii="Times New Roman" w:hAnsi="Times New Roman"/>
          <w:sz w:val="24"/>
          <w:szCs w:val="24"/>
        </w:rPr>
        <w:t>.:</w:t>
      </w:r>
      <w:proofErr w:type="gramEnd"/>
      <w:r w:rsidRPr="0074535D">
        <w:rPr>
          <w:rFonts w:ascii="Times New Roman" w:hAnsi="Times New Roman"/>
          <w:sz w:val="24"/>
          <w:szCs w:val="24"/>
        </w:rPr>
        <w:t xml:space="preserve"> </w:t>
      </w:r>
      <w:proofErr w:type="spellStart"/>
      <w:r w:rsidRPr="0074535D">
        <w:rPr>
          <w:rFonts w:ascii="Times New Roman" w:hAnsi="Times New Roman"/>
          <w:b/>
          <w:bCs/>
          <w:sz w:val="24"/>
          <w:szCs w:val="24"/>
        </w:rPr>
        <w:t>Phoînix</w:t>
      </w:r>
      <w:proofErr w:type="spellEnd"/>
      <w:r w:rsidRPr="0074535D">
        <w:rPr>
          <w:rFonts w:ascii="Times New Roman" w:hAnsi="Times New Roman"/>
          <w:sz w:val="24"/>
          <w:szCs w:val="24"/>
        </w:rPr>
        <w:t xml:space="preserve">. Rio de Janeiro: UFRJ, Ed. </w:t>
      </w:r>
      <w:proofErr w:type="spellStart"/>
      <w:r w:rsidRPr="0074535D">
        <w:rPr>
          <w:rFonts w:ascii="Times New Roman" w:hAnsi="Times New Roman"/>
          <w:sz w:val="24"/>
          <w:szCs w:val="24"/>
        </w:rPr>
        <w:t>Mauad</w:t>
      </w:r>
      <w:proofErr w:type="spellEnd"/>
      <w:r w:rsidRPr="0074535D">
        <w:rPr>
          <w:rFonts w:ascii="Times New Roman" w:hAnsi="Times New Roman"/>
          <w:sz w:val="24"/>
          <w:szCs w:val="24"/>
        </w:rPr>
        <w:t>, ano 14, 2008.</w:t>
      </w:r>
    </w:p>
    <w:p w:rsidR="0074535D" w:rsidRPr="0074535D" w:rsidRDefault="0074535D" w:rsidP="00080A6F">
      <w:pPr>
        <w:spacing w:line="240" w:lineRule="auto"/>
        <w:jc w:val="both"/>
        <w:rPr>
          <w:rFonts w:ascii="Times New Roman" w:hAnsi="Times New Roman"/>
          <w:sz w:val="24"/>
          <w:szCs w:val="24"/>
        </w:rPr>
      </w:pPr>
      <w:r w:rsidRPr="0074535D">
        <w:rPr>
          <w:rFonts w:ascii="Times New Roman" w:hAnsi="Times New Roman"/>
          <w:sz w:val="24"/>
          <w:szCs w:val="24"/>
        </w:rPr>
        <w:t xml:space="preserve">TERRIN, Aldo </w:t>
      </w:r>
      <w:proofErr w:type="spellStart"/>
      <w:r w:rsidRPr="0074535D">
        <w:rPr>
          <w:rFonts w:ascii="Times New Roman" w:hAnsi="Times New Roman"/>
          <w:sz w:val="24"/>
          <w:szCs w:val="24"/>
        </w:rPr>
        <w:t>Natale</w:t>
      </w:r>
      <w:proofErr w:type="spellEnd"/>
      <w:r w:rsidRPr="0074535D">
        <w:rPr>
          <w:rFonts w:ascii="Times New Roman" w:hAnsi="Times New Roman"/>
          <w:sz w:val="24"/>
          <w:szCs w:val="24"/>
        </w:rPr>
        <w:t xml:space="preserve">. </w:t>
      </w:r>
      <w:r w:rsidRPr="0074535D">
        <w:rPr>
          <w:rFonts w:ascii="Times New Roman" w:hAnsi="Times New Roman"/>
          <w:b/>
          <w:bCs/>
          <w:sz w:val="24"/>
          <w:szCs w:val="24"/>
        </w:rPr>
        <w:t>Introdução ao Estudo Comparado das Religiões</w:t>
      </w:r>
      <w:r w:rsidRPr="0074535D">
        <w:rPr>
          <w:rFonts w:ascii="Times New Roman" w:hAnsi="Times New Roman"/>
          <w:sz w:val="24"/>
          <w:szCs w:val="24"/>
        </w:rPr>
        <w:t>. São Paulo: Paulinas, 2003.</w:t>
      </w:r>
    </w:p>
    <w:p w:rsidR="00832233" w:rsidRPr="0074535D" w:rsidRDefault="00832233">
      <w:pPr>
        <w:pStyle w:val="Textodenotadefim"/>
        <w:rPr>
          <w:rFonts w:ascii="Times New Roman" w:hAnsi="Times New Roman"/>
          <w:sz w:val="24"/>
          <w:szCs w:val="24"/>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05" w:rsidRDefault="00805C05" w:rsidP="00430662">
      <w:pPr>
        <w:spacing w:after="0" w:line="240" w:lineRule="auto"/>
      </w:pPr>
      <w:r>
        <w:separator/>
      </w:r>
    </w:p>
  </w:footnote>
  <w:footnote w:type="continuationSeparator" w:id="0">
    <w:p w:rsidR="00805C05" w:rsidRDefault="00805C05" w:rsidP="00430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5EE6"/>
    <w:multiLevelType w:val="multilevel"/>
    <w:tmpl w:val="5A84D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E8D6B1C"/>
    <w:multiLevelType w:val="hybridMultilevel"/>
    <w:tmpl w:val="07D24B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430662"/>
    <w:rsid w:val="00014E51"/>
    <w:rsid w:val="000359BD"/>
    <w:rsid w:val="00080A6F"/>
    <w:rsid w:val="000C4B04"/>
    <w:rsid w:val="001A0C3B"/>
    <w:rsid w:val="00221954"/>
    <w:rsid w:val="002571E5"/>
    <w:rsid w:val="002849EC"/>
    <w:rsid w:val="002F6E5D"/>
    <w:rsid w:val="00353F13"/>
    <w:rsid w:val="003A59EB"/>
    <w:rsid w:val="00430662"/>
    <w:rsid w:val="0058317B"/>
    <w:rsid w:val="005C4FA7"/>
    <w:rsid w:val="005E154A"/>
    <w:rsid w:val="0074535D"/>
    <w:rsid w:val="007C6F30"/>
    <w:rsid w:val="00805C05"/>
    <w:rsid w:val="00832233"/>
    <w:rsid w:val="008876D8"/>
    <w:rsid w:val="008E43F0"/>
    <w:rsid w:val="00976864"/>
    <w:rsid w:val="00A664C9"/>
    <w:rsid w:val="00AA3DC9"/>
    <w:rsid w:val="00B62218"/>
    <w:rsid w:val="00C2385B"/>
    <w:rsid w:val="00C251B9"/>
    <w:rsid w:val="00C6281F"/>
    <w:rsid w:val="00C82CB7"/>
    <w:rsid w:val="00D525DB"/>
    <w:rsid w:val="00D96BAA"/>
    <w:rsid w:val="00DB3002"/>
    <w:rsid w:val="00DE76BB"/>
    <w:rsid w:val="00E4691E"/>
    <w:rsid w:val="00E76EA4"/>
    <w:rsid w:val="00E96CA8"/>
    <w:rsid w:val="00F96B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ABNT">
    <w:name w:val="Citação ABNT"/>
    <w:basedOn w:val="Normal"/>
    <w:next w:val="Normal"/>
    <w:autoRedefine/>
    <w:rsid w:val="002571E5"/>
    <w:pPr>
      <w:spacing w:after="0" w:line="240" w:lineRule="auto"/>
      <w:ind w:left="2268"/>
      <w:jc w:val="both"/>
    </w:pPr>
    <w:rPr>
      <w:rFonts w:ascii="Times New Roman" w:eastAsia="Times New Roman" w:hAnsi="Times New Roman"/>
      <w:sz w:val="20"/>
      <w:szCs w:val="24"/>
      <w:lang w:eastAsia="pt-BR"/>
    </w:rPr>
  </w:style>
  <w:style w:type="paragraph" w:styleId="Textodenotaderodap">
    <w:name w:val="footnote text"/>
    <w:basedOn w:val="Normal"/>
    <w:link w:val="TextodenotaderodapChar"/>
    <w:uiPriority w:val="99"/>
    <w:rsid w:val="00430662"/>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430662"/>
    <w:rPr>
      <w:rFonts w:ascii="Times New Roman" w:eastAsia="Times New Roman" w:hAnsi="Times New Roman" w:cs="Times New Roman"/>
      <w:sz w:val="20"/>
      <w:szCs w:val="20"/>
      <w:lang w:eastAsia="pt-BR"/>
    </w:rPr>
  </w:style>
  <w:style w:type="character" w:styleId="Refdenotaderodap">
    <w:name w:val="footnote reference"/>
    <w:uiPriority w:val="99"/>
    <w:rsid w:val="00430662"/>
    <w:rPr>
      <w:vertAlign w:val="superscript"/>
    </w:rPr>
  </w:style>
  <w:style w:type="paragraph" w:styleId="NormalWeb">
    <w:name w:val="Normal (Web)"/>
    <w:basedOn w:val="Normal"/>
    <w:rsid w:val="00430662"/>
    <w:pPr>
      <w:spacing w:before="100" w:beforeAutospacing="1" w:after="100" w:afterAutospacing="1" w:line="240" w:lineRule="auto"/>
    </w:pPr>
    <w:rPr>
      <w:rFonts w:ascii="Times New Roman" w:eastAsia="SimSun" w:hAnsi="Times New Roman"/>
      <w:sz w:val="24"/>
      <w:szCs w:val="24"/>
      <w:lang w:eastAsia="zh-CN"/>
    </w:rPr>
  </w:style>
  <w:style w:type="paragraph" w:styleId="PargrafodaLista">
    <w:name w:val="List Paragraph"/>
    <w:basedOn w:val="Normal"/>
    <w:uiPriority w:val="34"/>
    <w:qFormat/>
    <w:rsid w:val="00430662"/>
    <w:pPr>
      <w:ind w:left="720"/>
      <w:contextualSpacing/>
    </w:pPr>
  </w:style>
  <w:style w:type="paragraph" w:styleId="Textodenotadefim">
    <w:name w:val="endnote text"/>
    <w:basedOn w:val="Normal"/>
    <w:link w:val="TextodenotadefimChar"/>
    <w:uiPriority w:val="99"/>
    <w:semiHidden/>
    <w:unhideWhenUsed/>
    <w:rsid w:val="00E4691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4691E"/>
    <w:rPr>
      <w:rFonts w:ascii="Calibri" w:eastAsia="Calibri" w:hAnsi="Calibri" w:cs="Times New Roman"/>
      <w:sz w:val="20"/>
      <w:szCs w:val="20"/>
    </w:rPr>
  </w:style>
  <w:style w:type="character" w:styleId="Refdenotadefim">
    <w:name w:val="endnote reference"/>
    <w:basedOn w:val="Fontepargpadro"/>
    <w:uiPriority w:val="99"/>
    <w:semiHidden/>
    <w:unhideWhenUsed/>
    <w:rsid w:val="00E469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ABNT">
    <w:name w:val="Citação ABNT"/>
    <w:basedOn w:val="Normal"/>
    <w:next w:val="Normal"/>
    <w:autoRedefine/>
    <w:rsid w:val="002571E5"/>
    <w:pPr>
      <w:spacing w:after="0" w:line="240" w:lineRule="auto"/>
      <w:ind w:left="2268"/>
      <w:jc w:val="both"/>
    </w:pPr>
    <w:rPr>
      <w:rFonts w:ascii="Times New Roman" w:eastAsia="Times New Roman" w:hAnsi="Times New Roman"/>
      <w:sz w:val="20"/>
      <w:szCs w:val="24"/>
      <w:lang w:eastAsia="pt-BR"/>
    </w:rPr>
  </w:style>
  <w:style w:type="paragraph" w:styleId="Textodenotaderodap">
    <w:name w:val="footnote text"/>
    <w:basedOn w:val="Normal"/>
    <w:link w:val="TextodenotaderodapChar"/>
    <w:uiPriority w:val="99"/>
    <w:rsid w:val="00430662"/>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430662"/>
    <w:rPr>
      <w:rFonts w:ascii="Times New Roman" w:eastAsia="Times New Roman" w:hAnsi="Times New Roman" w:cs="Times New Roman"/>
      <w:sz w:val="20"/>
      <w:szCs w:val="20"/>
      <w:lang w:eastAsia="pt-BR"/>
    </w:rPr>
  </w:style>
  <w:style w:type="character" w:styleId="Refdenotaderodap">
    <w:name w:val="footnote reference"/>
    <w:uiPriority w:val="99"/>
    <w:rsid w:val="00430662"/>
    <w:rPr>
      <w:vertAlign w:val="superscript"/>
    </w:rPr>
  </w:style>
  <w:style w:type="paragraph" w:styleId="NormalWeb">
    <w:name w:val="Normal (Web)"/>
    <w:basedOn w:val="Normal"/>
    <w:rsid w:val="00430662"/>
    <w:pPr>
      <w:spacing w:before="100" w:beforeAutospacing="1" w:after="100" w:afterAutospacing="1" w:line="240" w:lineRule="auto"/>
    </w:pPr>
    <w:rPr>
      <w:rFonts w:ascii="Times New Roman" w:eastAsia="SimSun" w:hAnsi="Times New Roman"/>
      <w:sz w:val="24"/>
      <w:szCs w:val="24"/>
      <w:lang w:eastAsia="zh-CN"/>
    </w:rPr>
  </w:style>
  <w:style w:type="paragraph" w:styleId="PargrafodaLista">
    <w:name w:val="List Paragraph"/>
    <w:basedOn w:val="Normal"/>
    <w:uiPriority w:val="34"/>
    <w:qFormat/>
    <w:rsid w:val="00430662"/>
    <w:pPr>
      <w:ind w:left="720"/>
      <w:contextualSpacing/>
    </w:pPr>
  </w:style>
  <w:style w:type="paragraph" w:styleId="Textodenotadefim">
    <w:name w:val="endnote text"/>
    <w:basedOn w:val="Normal"/>
    <w:link w:val="TextodenotadefimChar"/>
    <w:uiPriority w:val="99"/>
    <w:semiHidden/>
    <w:unhideWhenUsed/>
    <w:rsid w:val="00E4691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4691E"/>
    <w:rPr>
      <w:rFonts w:ascii="Calibri" w:eastAsia="Calibri" w:hAnsi="Calibri" w:cs="Times New Roman"/>
      <w:sz w:val="20"/>
      <w:szCs w:val="20"/>
    </w:rPr>
  </w:style>
  <w:style w:type="character" w:styleId="Refdenotadefim">
    <w:name w:val="endnote reference"/>
    <w:basedOn w:val="Fontepargpadro"/>
    <w:uiPriority w:val="99"/>
    <w:semiHidden/>
    <w:unhideWhenUsed/>
    <w:rsid w:val="00E4691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0C42-A3C6-490D-8C5C-B69ED9EA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3168</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Maison</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Amaral</dc:creator>
  <cp:lastModifiedBy>Space BR</cp:lastModifiedBy>
  <cp:revision>4</cp:revision>
  <dcterms:created xsi:type="dcterms:W3CDTF">2011-07-31T23:48:00Z</dcterms:created>
  <dcterms:modified xsi:type="dcterms:W3CDTF">2011-08-01T00:20:00Z</dcterms:modified>
</cp:coreProperties>
</file>