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A" w:rsidRDefault="00352BC1">
      <w:pPr>
        <w:pStyle w:val="Padro"/>
        <w:spacing w:line="360" w:lineRule="auto"/>
        <w:jc w:val="center"/>
      </w:pPr>
      <w:r>
        <w:rPr>
          <w:rFonts w:ascii="Arial" w:hAnsi="Arial" w:cs="Arial"/>
          <w:b/>
        </w:rPr>
        <w:t xml:space="preserve">1924: </w:t>
      </w:r>
      <w:proofErr w:type="spellStart"/>
      <w:r>
        <w:rPr>
          <w:rFonts w:ascii="Arial" w:hAnsi="Arial" w:cs="Arial"/>
          <w:b/>
        </w:rPr>
        <w:t>E.M.F</w:t>
      </w:r>
      <w:r w:rsidR="00994609">
        <w:rPr>
          <w:rFonts w:ascii="Arial" w:hAnsi="Arial" w:cs="Arial"/>
          <w:b/>
        </w:rPr>
        <w:t>orster</w:t>
      </w:r>
      <w:proofErr w:type="spellEnd"/>
      <w:r w:rsidR="00994609">
        <w:rPr>
          <w:rFonts w:ascii="Arial" w:hAnsi="Arial" w:cs="Arial"/>
          <w:b/>
        </w:rPr>
        <w:t xml:space="preserve"> e seu último romance, A </w:t>
      </w:r>
      <w:proofErr w:type="spellStart"/>
      <w:r w:rsidR="0099460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assage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India</w:t>
      </w:r>
      <w:proofErr w:type="spellEnd"/>
      <w:proofErr w:type="gramEnd"/>
    </w:p>
    <w:p w:rsidR="00C356DA" w:rsidRDefault="00C356DA">
      <w:pPr>
        <w:pStyle w:val="Padro"/>
        <w:spacing w:line="360" w:lineRule="auto"/>
        <w:jc w:val="center"/>
      </w:pPr>
    </w:p>
    <w:p w:rsidR="00C356DA" w:rsidRDefault="00352BC1">
      <w:pPr>
        <w:pStyle w:val="Padro"/>
        <w:spacing w:line="360" w:lineRule="auto"/>
        <w:jc w:val="right"/>
      </w:pPr>
      <w:r>
        <w:rPr>
          <w:rFonts w:ascii="Arial" w:hAnsi="Arial" w:cs="Arial"/>
          <w:b/>
        </w:rPr>
        <w:t xml:space="preserve">Wendell Ramos Maia – UEM </w:t>
      </w:r>
    </w:p>
    <w:p w:rsidR="00C356DA" w:rsidRDefault="00C356DA">
      <w:pPr>
        <w:pStyle w:val="Padro"/>
        <w:spacing w:line="360" w:lineRule="auto"/>
        <w:jc w:val="right"/>
      </w:pPr>
    </w:p>
    <w:p w:rsidR="00C356DA" w:rsidRDefault="00352BC1">
      <w:pPr>
        <w:pStyle w:val="Padro"/>
        <w:spacing w:line="360" w:lineRule="auto"/>
        <w:jc w:val="center"/>
      </w:pPr>
      <w:r>
        <w:rPr>
          <w:rFonts w:ascii="Arial" w:hAnsi="Arial" w:cs="Arial"/>
          <w:b/>
        </w:rPr>
        <w:t>INTRODUÇÃO</w:t>
      </w:r>
    </w:p>
    <w:p w:rsidR="00C356DA" w:rsidRDefault="00C356DA">
      <w:pPr>
        <w:pStyle w:val="Padro"/>
        <w:spacing w:line="360" w:lineRule="auto"/>
        <w:jc w:val="center"/>
      </w:pPr>
      <w:bookmarkStart w:id="0" w:name="_GoBack"/>
      <w:bookmarkEnd w:id="0"/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t xml:space="preserve">Paira sob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uma conotação política que </w:t>
      </w:r>
      <w:proofErr w:type="spellStart"/>
      <w:r>
        <w:rPr>
          <w:rFonts w:ascii="Arial" w:hAnsi="Arial" w:cs="Arial"/>
        </w:rPr>
        <w:t>E.M.Forster</w:t>
      </w:r>
      <w:proofErr w:type="spellEnd"/>
      <w:r>
        <w:rPr>
          <w:rFonts w:ascii="Arial" w:hAnsi="Arial" w:cs="Arial"/>
        </w:rPr>
        <w:t xml:space="preserve"> não pretendia, mas que acabou se tornando inevitável dado o contexto em que o romance foi publicado, junho de 1924. Os eventos entre os anos de 1919 e 1920, ambos no Egito e na Índia, lugares onde ele tinha estado, além da Irlanda, o afetaram profundamente e se fizeram sentir de muitas maneiras ao longo do processo de produção de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 w:rsidR="00A84621">
        <w:rPr>
          <w:rFonts w:ascii="Arial" w:hAnsi="Arial" w:cs="Arial"/>
        </w:rPr>
        <w:t xml:space="preserve">, que durou </w:t>
      </w:r>
      <w:proofErr w:type="gramStart"/>
      <w:r w:rsidR="00A84621">
        <w:rPr>
          <w:rFonts w:ascii="Arial" w:hAnsi="Arial" w:cs="Arial"/>
        </w:rPr>
        <w:t>cerca de 12</w:t>
      </w:r>
      <w:proofErr w:type="gramEnd"/>
      <w:r>
        <w:rPr>
          <w:rFonts w:ascii="Arial" w:hAnsi="Arial" w:cs="Arial"/>
        </w:rPr>
        <w:t xml:space="preserve"> anos. Nesse sentido, o romance, iniciado em 1912, qualquer que tenha sido sua concepção original, foi profundamente influenciado por isso, como frisou um de seus biógrafos, </w:t>
      </w:r>
      <w:proofErr w:type="spellStart"/>
      <w:r>
        <w:rPr>
          <w:rFonts w:ascii="Arial" w:hAnsi="Arial" w:cs="Arial"/>
        </w:rPr>
        <w:t>P.N.Furbank</w:t>
      </w:r>
      <w:proofErr w:type="spellEnd"/>
      <w:r>
        <w:rPr>
          <w:rFonts w:ascii="Arial" w:hAnsi="Arial" w:cs="Arial"/>
        </w:rPr>
        <w:t xml:space="preserve">. Mas não foi só o romance. O homem por </w:t>
      </w:r>
      <w:proofErr w:type="gramStart"/>
      <w:r>
        <w:rPr>
          <w:rFonts w:ascii="Arial" w:hAnsi="Arial" w:cs="Arial"/>
        </w:rPr>
        <w:t>detrás</w:t>
      </w:r>
      <w:proofErr w:type="gramEnd"/>
      <w:r>
        <w:rPr>
          <w:rFonts w:ascii="Arial" w:hAnsi="Arial" w:cs="Arial"/>
        </w:rPr>
        <w:t xml:space="preserve"> do romancista também começava a divisar novos horizontes. A gestação do crítico e ensaísta se deu naqueles anos, entre 1919 e 1924, em meio a uma série de problemas e conflitos internos que marcariam o início de uma nova fase em sua vida ― o </w:t>
      </w:r>
      <w:r>
        <w:rPr>
          <w:rFonts w:ascii="Arial" w:hAnsi="Arial" w:cs="Arial"/>
          <w:i/>
        </w:rPr>
        <w:t>homem</w:t>
      </w:r>
      <w:r>
        <w:rPr>
          <w:rFonts w:ascii="Arial" w:hAnsi="Arial" w:cs="Arial"/>
        </w:rPr>
        <w:t xml:space="preserve"> e o </w:t>
      </w:r>
      <w:r>
        <w:rPr>
          <w:rFonts w:ascii="Arial" w:hAnsi="Arial" w:cs="Arial"/>
          <w:i/>
        </w:rPr>
        <w:t>crítico</w:t>
      </w:r>
      <w:r>
        <w:rPr>
          <w:rFonts w:ascii="Arial" w:hAnsi="Arial" w:cs="Arial"/>
        </w:rPr>
        <w:t xml:space="preserve"> acabaram emergindo enquanto o </w:t>
      </w:r>
      <w:r>
        <w:rPr>
          <w:rFonts w:ascii="Arial" w:hAnsi="Arial" w:cs="Arial"/>
          <w:i/>
        </w:rPr>
        <w:t>romancista</w:t>
      </w:r>
      <w:r>
        <w:rPr>
          <w:rFonts w:ascii="Arial" w:hAnsi="Arial" w:cs="Arial"/>
        </w:rPr>
        <w:t xml:space="preserve"> submergia em meio às profundas transformações que andavam em curso. </w:t>
      </w:r>
      <w:r>
        <w:rPr>
          <w:rFonts w:ascii="Arial" w:hAnsi="Arial" w:cs="Arial"/>
        </w:rPr>
        <w:tab/>
      </w:r>
    </w:p>
    <w:p w:rsidR="00C356DA" w:rsidRDefault="00352BC1">
      <w:pPr>
        <w:pStyle w:val="Padro"/>
        <w:tabs>
          <w:tab w:val="left" w:pos="0"/>
        </w:tabs>
        <w:spacing w:line="360" w:lineRule="auto"/>
        <w:jc w:val="both"/>
      </w:pPr>
      <w:r>
        <w:rPr>
          <w:rFonts w:ascii="Arial" w:hAnsi="Arial" w:cs="Arial"/>
        </w:rPr>
        <w:tab/>
        <w:t xml:space="preserve">O bloqueio criativo que deu vasão a tantas dificuldades para conclui-lo se arrastava desde a publicação do romance que lhe rendeu a aclamação da crítica, </w:t>
      </w:r>
      <w:proofErr w:type="spellStart"/>
      <w:r>
        <w:rPr>
          <w:rFonts w:ascii="Arial" w:hAnsi="Arial" w:cs="Arial"/>
          <w:i/>
        </w:rPr>
        <w:t>Howards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End</w:t>
      </w:r>
      <w:proofErr w:type="spellEnd"/>
      <w:r>
        <w:rPr>
          <w:rFonts w:ascii="Arial" w:hAnsi="Arial" w:cs="Arial"/>
        </w:rPr>
        <w:t xml:space="preserve">, em 1910, e se aprofundou no ano seguinte com a morte de </w:t>
      </w:r>
      <w:proofErr w:type="spellStart"/>
      <w:r>
        <w:rPr>
          <w:rFonts w:ascii="Arial" w:hAnsi="Arial" w:cs="Arial"/>
        </w:rPr>
        <w:t>Louisa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Whichelo</w:t>
      </w:r>
      <w:proofErr w:type="spellEnd"/>
      <w:r>
        <w:rPr>
          <w:rFonts w:ascii="Arial" w:hAnsi="Arial" w:cs="Arial"/>
        </w:rPr>
        <w:t xml:space="preserve">, sua avó materna ― “a morte de sua avó destruiu a vida de sua mãe e modificou definitivamente seu caráter; a vida deles nunca mais foi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mesma depois disso” (2010, p.197), como observou </w:t>
      </w:r>
      <w:proofErr w:type="spellStart"/>
      <w:r>
        <w:rPr>
          <w:rFonts w:ascii="Arial" w:hAnsi="Arial" w:cs="Arial"/>
        </w:rPr>
        <w:t>Furbank</w:t>
      </w:r>
      <w:proofErr w:type="spellEnd"/>
      <w:r>
        <w:rPr>
          <w:rFonts w:ascii="Arial" w:hAnsi="Arial" w:cs="Arial"/>
        </w:rPr>
        <w:t xml:space="preserve">. Nesse contexto, com carreira literária interrompida e com problemas pessoais que pareciam simplesmente insolúveis, ele ainda tinha que lidar com as incertezas do mundo do pós-guerra, o que o deixava inquieto e perturbado. E essa situação acabou comprometendo não só sua carreira literária, mas todo o processo de composição de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>
        <w:rPr>
          <w:rFonts w:ascii="Arial" w:hAnsi="Arial" w:cs="Arial"/>
        </w:rPr>
        <w:t xml:space="preserve">. E é justamente isso que queremos frisar. O que se pretende aqui não é mera análise do romance, mas um exame do processo de sua composição, situando e discutindo os acontecimentos que </w:t>
      </w:r>
      <w:r>
        <w:rPr>
          <w:rFonts w:ascii="Arial" w:hAnsi="Arial" w:cs="Arial"/>
        </w:rPr>
        <w:lastRenderedPageBreak/>
        <w:t xml:space="preserve">podem tê-lo influenciado. O homem que publicou </w:t>
      </w:r>
      <w:proofErr w:type="spellStart"/>
      <w:r>
        <w:rPr>
          <w:rFonts w:ascii="Arial" w:hAnsi="Arial" w:cs="Arial"/>
          <w:i/>
        </w:rPr>
        <w:t>Howards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End</w:t>
      </w:r>
      <w:proofErr w:type="spellEnd"/>
      <w:r>
        <w:rPr>
          <w:rFonts w:ascii="Arial" w:hAnsi="Arial" w:cs="Arial"/>
        </w:rPr>
        <w:t xml:space="preserve">, em 1910, não foi o mesmo que publicou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>
        <w:rPr>
          <w:rFonts w:ascii="Arial" w:hAnsi="Arial" w:cs="Arial"/>
        </w:rPr>
        <w:t>, em 1924. A Inglaterra também não era mais a mesma. A letargia que a havia dominado depois da morte da Rainha Vitóri</w:t>
      </w:r>
      <w:r w:rsidR="00A84621">
        <w:rPr>
          <w:rFonts w:ascii="Arial" w:hAnsi="Arial" w:cs="Arial"/>
        </w:rPr>
        <w:t>a chegou ao fim com os tiros de</w:t>
      </w:r>
      <w:r>
        <w:rPr>
          <w:rFonts w:ascii="Arial" w:hAnsi="Arial" w:cs="Arial"/>
        </w:rPr>
        <w:t xml:space="preserve"> canhões vindos do outro lado da Mancha em 1914. Após a vitória, o Império, até então revestido de uma couraça que parecia impermeável, começou a dar sinais de fadiga e fraqueza. Nesse cenário,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>
        <w:rPr>
          <w:rFonts w:ascii="Arial" w:hAnsi="Arial" w:cs="Arial"/>
        </w:rPr>
        <w:t xml:space="preserve"> aparece como um presságio das críticas que iriam recair sob os ombros do Império ao fim da Segunda Guerra Mundial, 20 anos depois de sua publicação. 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t>Nesse sentido, temos que nos ater não apenas a essas dificuldades de cunho pessoal que marcaram os anos em que ele estava escrevendo o romance, mas também a conjuntura política e social inglesa e do Império Britânico do começo da década de 1920, pois, de uma maneira ou outra, isso pode nos ajudar a compreender melhor não só o resultado final desse esforço, o romance em si, mas também concepções e as motivações que nortearam esse trabalho que levou mais de uma década para ser concluído.</w:t>
      </w:r>
    </w:p>
    <w:p w:rsidR="00C356DA" w:rsidRDefault="00352BC1">
      <w:pPr>
        <w:pStyle w:val="Padro"/>
        <w:tabs>
          <w:tab w:val="left" w:pos="0"/>
        </w:tabs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C356DA" w:rsidRDefault="00352BC1">
      <w:pPr>
        <w:pStyle w:val="Padro"/>
        <w:spacing w:line="360" w:lineRule="auto"/>
        <w:jc w:val="center"/>
      </w:pPr>
      <w:r>
        <w:rPr>
          <w:rFonts w:ascii="Arial" w:hAnsi="Arial" w:cs="Arial"/>
          <w:b/>
        </w:rPr>
        <w:t xml:space="preserve">1924: O ano de </w:t>
      </w:r>
      <w:r w:rsidR="00336B22">
        <w:rPr>
          <w:rFonts w:ascii="Arial" w:hAnsi="Arial" w:cs="Arial"/>
          <w:b/>
          <w:i/>
        </w:rPr>
        <w:t xml:space="preserve">A </w:t>
      </w:r>
      <w:proofErr w:type="spellStart"/>
      <w:r w:rsidR="00336B22">
        <w:rPr>
          <w:rFonts w:ascii="Arial" w:hAnsi="Arial" w:cs="Arial"/>
          <w:b/>
          <w:i/>
        </w:rPr>
        <w:t>Passage</w:t>
      </w:r>
      <w:proofErr w:type="spellEnd"/>
      <w:r w:rsidR="00336B22">
        <w:rPr>
          <w:rFonts w:ascii="Arial" w:hAnsi="Arial" w:cs="Arial"/>
          <w:b/>
          <w:i/>
        </w:rPr>
        <w:t xml:space="preserve"> </w:t>
      </w:r>
      <w:proofErr w:type="spellStart"/>
      <w:r w:rsidR="00336B22">
        <w:rPr>
          <w:rFonts w:ascii="Arial" w:hAnsi="Arial" w:cs="Arial"/>
          <w:b/>
          <w:i/>
        </w:rPr>
        <w:t>to</w:t>
      </w:r>
      <w:proofErr w:type="spellEnd"/>
      <w:r w:rsidR="00336B22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India</w:t>
      </w:r>
      <w:proofErr w:type="spellEnd"/>
    </w:p>
    <w:p w:rsidR="00C356DA" w:rsidRDefault="00C356DA">
      <w:pPr>
        <w:pStyle w:val="Padro"/>
        <w:tabs>
          <w:tab w:val="left" w:pos="0"/>
        </w:tabs>
        <w:spacing w:line="360" w:lineRule="auto"/>
        <w:jc w:val="both"/>
      </w:pPr>
    </w:p>
    <w:p w:rsidR="00C356DA" w:rsidRDefault="00352BC1">
      <w:pPr>
        <w:pStyle w:val="Padro"/>
        <w:tabs>
          <w:tab w:val="left" w:pos="0"/>
        </w:tabs>
        <w:spacing w:line="360" w:lineRule="auto"/>
        <w:jc w:val="both"/>
      </w:pPr>
      <w:r>
        <w:rPr>
          <w:rFonts w:ascii="Arial" w:hAnsi="Arial" w:cs="Arial"/>
        </w:rPr>
        <w:tab/>
        <w:t xml:space="preserve">Em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E.M.Forster</w:t>
      </w:r>
      <w:proofErr w:type="spellEnd"/>
      <w:r>
        <w:rPr>
          <w:rFonts w:ascii="Arial" w:hAnsi="Arial" w:cs="Arial"/>
        </w:rPr>
        <w:t xml:space="preserve"> não vê, obviamente, o lado econômico da empresa colonial — que, de fato, era o que fazia com que a Inglaterra mantivesse a ocupação — mas o lado humano, através das relações entre a Senhora Moore e </w:t>
      </w:r>
      <w:proofErr w:type="spellStart"/>
      <w:r>
        <w:rPr>
          <w:rFonts w:ascii="Arial" w:hAnsi="Arial" w:cs="Arial"/>
        </w:rPr>
        <w:t>Adela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Quested</w:t>
      </w:r>
      <w:proofErr w:type="spellEnd"/>
      <w:r>
        <w:rPr>
          <w:rFonts w:ascii="Arial" w:hAnsi="Arial" w:cs="Arial"/>
        </w:rPr>
        <w:t xml:space="preserve"> com o Dr. Aziz, um médico indiano. A altura em que ele o escrevia, a Índia não era mais um longínquo posto comercial como o era no século XVIII — era a colônia mais populosa e mais lucrativa. E os ingleses conseguiram isso mediante </w:t>
      </w:r>
      <w:proofErr w:type="gramStart"/>
      <w:r>
        <w:rPr>
          <w:rFonts w:ascii="Arial" w:hAnsi="Arial" w:cs="Arial"/>
        </w:rPr>
        <w:t>a esforços</w:t>
      </w:r>
      <w:proofErr w:type="gramEnd"/>
      <w:r>
        <w:rPr>
          <w:rFonts w:ascii="Arial" w:hAnsi="Arial" w:cs="Arial"/>
        </w:rPr>
        <w:t xml:space="preserve"> e fazendo uso de mecanismos dos mais variados para manter sua posição no subcontinente. Mesmo que o levante de 1857 tenha sido sufocado, uma oposição contra a ocupação resistiu, tendo emergido esporadicamente até a independência da Índia, em 1947. E embora essa resistência pareça latente no momento em que </w:t>
      </w:r>
      <w:proofErr w:type="spellStart"/>
      <w:r>
        <w:rPr>
          <w:rFonts w:ascii="Arial" w:hAnsi="Arial" w:cs="Arial"/>
        </w:rPr>
        <w:t>Adela</w:t>
      </w:r>
      <w:proofErr w:type="spellEnd"/>
      <w:r>
        <w:rPr>
          <w:rFonts w:ascii="Arial" w:hAnsi="Arial" w:cs="Arial"/>
        </w:rPr>
        <w:t xml:space="preserve"> e a Senhora Moore chegam à Índia, ela é explorada no romance a partir do incidente nas Cavernas de </w:t>
      </w:r>
      <w:proofErr w:type="spellStart"/>
      <w:r>
        <w:rPr>
          <w:rFonts w:ascii="Arial" w:hAnsi="Arial" w:cs="Arial"/>
        </w:rPr>
        <w:t>Marabar</w:t>
      </w:r>
      <w:proofErr w:type="spellEnd"/>
      <w:r>
        <w:rPr>
          <w:rFonts w:ascii="Arial" w:hAnsi="Arial" w:cs="Arial"/>
        </w:rPr>
        <w:t xml:space="preserve">. O incidente aferra os ânimos deixando as vísceras de fora, da mesma maneira como aconteceu quando do massacre </w:t>
      </w:r>
      <w:r>
        <w:rPr>
          <w:rFonts w:ascii="Arial" w:hAnsi="Arial" w:cs="Arial"/>
        </w:rPr>
        <w:lastRenderedPageBreak/>
        <w:t xml:space="preserve">de </w:t>
      </w:r>
      <w:proofErr w:type="spellStart"/>
      <w:r>
        <w:rPr>
          <w:rFonts w:ascii="Arial" w:hAnsi="Arial" w:cs="Arial"/>
        </w:rPr>
        <w:t>Amritsar</w:t>
      </w:r>
      <w:proofErr w:type="spellEnd"/>
      <w:r>
        <w:rPr>
          <w:rFonts w:ascii="Arial" w:hAnsi="Arial" w:cs="Arial"/>
        </w:rPr>
        <w:t>, na Índia, em 1919, quando os ingleses atiraram contra uma manifestação pacífica, deixando algumas centenas de mortos.</w:t>
      </w:r>
    </w:p>
    <w:p w:rsidR="00C356DA" w:rsidRDefault="00352BC1">
      <w:pPr>
        <w:pStyle w:val="Padro"/>
        <w:spacing w:line="360" w:lineRule="auto"/>
        <w:jc w:val="both"/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Forster</w:t>
      </w:r>
      <w:proofErr w:type="spellEnd"/>
      <w:r>
        <w:rPr>
          <w:rFonts w:ascii="Arial" w:hAnsi="Arial" w:cs="Arial"/>
        </w:rPr>
        <w:t xml:space="preserve"> nunca pretendeu fazer algo nos molde</w:t>
      </w:r>
      <w:r w:rsidR="006A76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i/>
        </w:rPr>
        <w:t>Coração das Trevas</w:t>
      </w:r>
      <w:r>
        <w:rPr>
          <w:rFonts w:ascii="Arial" w:hAnsi="Arial" w:cs="Arial"/>
        </w:rPr>
        <w:t>, de Joseph Conrad. “A questão das relações pessoais e das amizades”, segundo Stone, “é o ponto central do livro e ofusca inteiramente a questão política”</w:t>
      </w:r>
      <w:r>
        <w:rPr>
          <w:rStyle w:val="ncoradenotaderodap"/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(STONE, 1966, p. 320-321). E para que isso fique claro, a visão de Stone, é interessante observarmos o que próprio </w:t>
      </w:r>
      <w:proofErr w:type="spellStart"/>
      <w:r>
        <w:rPr>
          <w:rFonts w:ascii="Arial" w:hAnsi="Arial" w:cs="Arial"/>
        </w:rPr>
        <w:t>Forster</w:t>
      </w:r>
      <w:proofErr w:type="spellEnd"/>
      <w:r>
        <w:rPr>
          <w:rFonts w:ascii="Arial" w:hAnsi="Arial" w:cs="Arial"/>
        </w:rPr>
        <w:t xml:space="preserve"> escreveu em um artigo intitulado </w:t>
      </w:r>
      <w:r>
        <w:rPr>
          <w:rFonts w:ascii="Arial" w:hAnsi="Arial" w:cs="Arial"/>
          <w:i/>
        </w:rPr>
        <w:t xml:space="preserve">The </w:t>
      </w:r>
      <w:proofErr w:type="spellStart"/>
      <w:r>
        <w:rPr>
          <w:rFonts w:ascii="Arial" w:hAnsi="Arial" w:cs="Arial"/>
          <w:i/>
        </w:rPr>
        <w:t>challenge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our</w:t>
      </w:r>
      <w:proofErr w:type="spellEnd"/>
      <w:r>
        <w:rPr>
          <w:rFonts w:ascii="Arial" w:hAnsi="Arial" w:cs="Arial"/>
          <w:i/>
        </w:rPr>
        <w:t xml:space="preserve"> time</w:t>
      </w:r>
      <w:r>
        <w:rPr>
          <w:rFonts w:ascii="Arial" w:hAnsi="Arial" w:cs="Arial"/>
        </w:rPr>
        <w:t xml:space="preserve"> [O desafio do nosso tempo], em 1946: “Por temperamento, eu sou um individualista. Profissionalmente, eu sou escritor e meus livros dão ênfase na questão das relações pessoais e da vida privada porque eu acredito nisso” (FORSTER, 1951, p.55).  Nesse sentido, se havia alguma coisa por detrás do romance, além de seu interesse pelos personagens, certamente era isso: as relações entre as pessoas. A própria trama do romance o denuncia.</w:t>
      </w:r>
    </w:p>
    <w:p w:rsidR="00C356DA" w:rsidRDefault="00352BC1">
      <w:pPr>
        <w:pStyle w:val="Padro"/>
        <w:spacing w:line="360" w:lineRule="auto"/>
        <w:jc w:val="both"/>
      </w:pPr>
      <w:r>
        <w:rPr>
          <w:rFonts w:ascii="Arial" w:hAnsi="Arial" w:cs="Arial"/>
        </w:rPr>
        <w:tab/>
        <w:t>Além disso, temos de pensar que, ainda que um romance esteja retratando um lugar real, não se pode exigir dele um grau de realismo maior daquele que ele é capaz de transmitir. Nesse sentido, segundo Said, “</w:t>
      </w:r>
      <w:proofErr w:type="spellStart"/>
      <w:r>
        <w:rPr>
          <w:rFonts w:ascii="Arial" w:hAnsi="Arial" w:cs="Arial"/>
        </w:rPr>
        <w:t>Forster</w:t>
      </w:r>
      <w:proofErr w:type="spellEnd"/>
      <w:r>
        <w:rPr>
          <w:rFonts w:ascii="Arial" w:hAnsi="Arial" w:cs="Arial"/>
        </w:rPr>
        <w:t xml:space="preserve"> usa a Índia para apresentar conteúdos que, segundo os cânones do romance, não são passíveis de representação: a imensidão, crenças incompreensíveis, movimentos, histórias e formas sociais secretas” (SAID, 2011, p.315).  É isso o que esta por detrás do romance ― a dificuldade captar e descrever o ambiente deu lugar a uma estratégia pouco convencional: a Índia do romance aparece distorcida, enigmática. O próprio </w:t>
      </w:r>
      <w:proofErr w:type="spellStart"/>
      <w:r>
        <w:rPr>
          <w:rFonts w:ascii="Arial" w:hAnsi="Arial" w:cs="Arial"/>
        </w:rPr>
        <w:t>Forster</w:t>
      </w:r>
      <w:proofErr w:type="spellEnd"/>
      <w:r>
        <w:rPr>
          <w:rFonts w:ascii="Arial" w:hAnsi="Arial" w:cs="Arial"/>
        </w:rPr>
        <w:t xml:space="preserve"> o admitiu em uma carta a William </w:t>
      </w:r>
      <w:proofErr w:type="spellStart"/>
      <w:r>
        <w:rPr>
          <w:rFonts w:ascii="Arial" w:hAnsi="Arial" w:cs="Arial"/>
        </w:rPr>
        <w:t>Plomer</w:t>
      </w:r>
      <w:proofErr w:type="spellEnd"/>
      <w:r>
        <w:rPr>
          <w:rFonts w:ascii="Arial" w:hAnsi="Arial" w:cs="Arial"/>
        </w:rPr>
        <w:t xml:space="preserve">, de em 28 de setembro de 1934, “tentei mostrar que a Índia é um inexplicável caos” (FURBANK; LAGO, 1985, p.125). 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t>De todo, a intenção em conjunto com o seu humanismo, além do contexto histórico, acabou dando o tom do romance. O humanismo da Senhora Moore suscita as críticas que acabam tendo uma conotação política. E de fato elas tiveram porque a sucessão de revoltas espalhadas pelo Império sugeria que a insatisfação era generalizada ― Índia e Egito em 1919, Irlanda entre 191</w:t>
      </w:r>
      <w:r w:rsidR="00A84621">
        <w:rPr>
          <w:rFonts w:ascii="Arial" w:hAnsi="Arial" w:cs="Arial"/>
        </w:rPr>
        <w:t>6-1922. Mas ainda assim,</w:t>
      </w:r>
      <w:r>
        <w:rPr>
          <w:rFonts w:ascii="Arial" w:hAnsi="Arial" w:cs="Arial"/>
        </w:rPr>
        <w:t xml:space="preserve"> não se pode dizer que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>
        <w:rPr>
          <w:rFonts w:ascii="Arial" w:hAnsi="Arial" w:cs="Arial"/>
        </w:rPr>
        <w:t xml:space="preserve"> tenha contribuído para o avanço do anti-imperialismo no seio do Império. Muito embora o aparecimento desse romance naquele contexto seja, no mínimo, sintomático. 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lastRenderedPageBreak/>
        <w:t>O fato é que essa insatisfação e essa instabilidade política nas colônias fizeram com que um evento fosse rememorado ― o motim de 1857.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t>Os ingleses haviam expulsado os franceses da Índia quando do término da Guerra dos Sete Anos (1756-1763).  No período que se seguiu, a Companhia das Índias Orientais consolidou o monopólio inglês de comércio com o subcontinente. No entanto, nas primeiras décadas do século XIX, os ingleses partiram para suas primeiras investidas para anglicizar a Índia.  As décadas que se seguiram à derrota de Napoleão foram marcadas pelos primeiros enfrentamentos suscitados pela entrada de missionários ingleses e o seu desejo de eliminar certas práticas hindus.  Nesse sentido, o motim foi uma explosão de revolta contra o invasor. O estopim, como se sabe, se deu quando se espalharam rumores de que cartuchos que seriam utilizados pelos soldados indianos eram lubrificados com gordura animal, afinal, era preciso arrancar a ponta deles com uma mordida antes de usá-los, e assim, tanto os hindus como os muçulmanos corriam o risco de ficar impuros — os primeiros, se a gordura fosse de vaca; os segundos</w:t>
      </w:r>
      <w:proofErr w:type="gramStart"/>
      <w:r>
        <w:rPr>
          <w:rFonts w:ascii="Arial" w:hAnsi="Arial" w:cs="Arial"/>
        </w:rPr>
        <w:t>, se fosse</w:t>
      </w:r>
      <w:proofErr w:type="gramEnd"/>
      <w:r>
        <w:rPr>
          <w:rFonts w:ascii="Arial" w:hAnsi="Arial" w:cs="Arial"/>
        </w:rPr>
        <w:t xml:space="preserve"> de porco. “E foi assim que um projétil começou o conflito antes mesmo de ser carregado, quanto mais disparado” (FERGUSON, 2010, p.163). E uma vez começada, a revolta se espalhou com velocidade por todo o noroeste: </w:t>
      </w:r>
      <w:proofErr w:type="spellStart"/>
      <w:r>
        <w:rPr>
          <w:rFonts w:ascii="Arial" w:hAnsi="Arial" w:cs="Arial"/>
        </w:rPr>
        <w:t>Allahabad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Cawnpore</w:t>
      </w:r>
      <w:proofErr w:type="spellEnd"/>
      <w:r>
        <w:rPr>
          <w:rFonts w:ascii="Arial" w:hAnsi="Arial" w:cs="Arial"/>
        </w:rPr>
        <w:t xml:space="preserve"> e culminou com a ocupação de </w:t>
      </w:r>
      <w:proofErr w:type="spellStart"/>
      <w:r>
        <w:rPr>
          <w:rFonts w:ascii="Arial" w:hAnsi="Arial" w:cs="Arial"/>
        </w:rPr>
        <w:t>Dehli</w:t>
      </w:r>
      <w:proofErr w:type="spellEnd"/>
      <w:r>
        <w:rPr>
          <w:rFonts w:ascii="Arial" w:hAnsi="Arial" w:cs="Arial"/>
        </w:rPr>
        <w:t>.</w:t>
      </w:r>
    </w:p>
    <w:p w:rsidR="00C356DA" w:rsidRDefault="00352BC1">
      <w:pPr>
        <w:pStyle w:val="Padro"/>
        <w:spacing w:line="360" w:lineRule="auto"/>
        <w:jc w:val="both"/>
      </w:pPr>
      <w:r>
        <w:rPr>
          <w:rFonts w:ascii="Arial" w:hAnsi="Arial" w:cs="Arial"/>
        </w:rPr>
        <w:tab/>
        <w:t>Para os indianos, segundo Said, o Motim foi uma sublevação de caráter nacionalista ―</w:t>
      </w:r>
      <w:proofErr w:type="gramStart"/>
      <w:r>
        <w:rPr>
          <w:rFonts w:ascii="Arial" w:hAnsi="Arial" w:cs="Arial"/>
        </w:rPr>
        <w:t xml:space="preserve"> mas</w:t>
      </w:r>
      <w:proofErr w:type="gramEnd"/>
      <w:r>
        <w:rPr>
          <w:rFonts w:ascii="Arial" w:hAnsi="Arial" w:cs="Arial"/>
        </w:rPr>
        <w:t xml:space="preserve"> talvez não tenha sido exatamente isso. Não podemos nos esquecer de que eles lutaram nos dois lados ― os ingleses recrutavam indianos para servir em seu exército. Sem que houvesse esse colaboracionismo, a ocupação não teria se mantido por tanto tempo. Em 1848, havia 28.700 ingleses e 235.000 indianos servindo o exército no subcontinente. A mudança, em 1881, é visível: havia mais ingleses do que indianos, mas o contingente total é quase </w:t>
      </w:r>
      <w:proofErr w:type="gramStart"/>
      <w:r>
        <w:rPr>
          <w:rFonts w:ascii="Arial" w:hAnsi="Arial" w:cs="Arial"/>
        </w:rPr>
        <w:t>o mesmo, 69.647</w:t>
      </w:r>
      <w:proofErr w:type="gramEnd"/>
      <w:r>
        <w:rPr>
          <w:rFonts w:ascii="Arial" w:hAnsi="Arial" w:cs="Arial"/>
        </w:rPr>
        <w:t xml:space="preserve"> ingleses e 125.000 indianos (CANALES, 2008, p.281). Esse aspecto a que Said faz alusão não pode ser pensado em sua acepção moderna. Ele diz literalmente: “Para os indianos, o Motim foi uma sublevação nacionalista contra o domínio britânico, que se consolidava inflexivelmente, apesar dos abusos, da exploração e das reclamações indianas, aparentemente ignoradas” (SAID, 2011, p.239). Que havia insatisfação e descontentamento por parte dos indianos, isso não se </w:t>
      </w:r>
      <w:r>
        <w:rPr>
          <w:rFonts w:ascii="Arial" w:hAnsi="Arial" w:cs="Arial"/>
        </w:rPr>
        <w:lastRenderedPageBreak/>
        <w:t xml:space="preserve">discute. Mas não cabe a ideia de que a revolta tivesse a intenção de expulsar os ingleses dali ou de independência. A Índia passou a ser governada depois e não antes da revolta ― o ocorrido em 1857 foi uma explosão contra o invasor, com o intuito de repelir algumas intromissões, a começar pelos cartuchos. Até então quem controlava o comércio era a Companhia das Índias Ocidentais ― e a isso se resumia à presença inglesa, à Companhia e a um contingente de forças para proteger seus postos comerciais. O Vice-Reinado foi estabelecido depois, com o fim do Motim. Portanto, é complicado falar em independência nessa situação ― não havia governo estrangeiro com que romper. Além disso, não havia uma unidade territorial. A comparação não é das mais adequadas, mas a Índia, como a Alemanha antes de Bismarck, era fragmentada, havendo pequenos estados, parte deles </w:t>
      </w:r>
      <w:proofErr w:type="gramStart"/>
      <w:r>
        <w:rPr>
          <w:rFonts w:ascii="Arial" w:hAnsi="Arial" w:cs="Arial"/>
        </w:rPr>
        <w:t>sob controle</w:t>
      </w:r>
      <w:proofErr w:type="gramEnd"/>
      <w:r>
        <w:rPr>
          <w:rFonts w:ascii="Arial" w:hAnsi="Arial" w:cs="Arial"/>
        </w:rPr>
        <w:t xml:space="preserve"> britânico direto e outros não. A unidade, ou talvez o sentimento nacionalista, se tornou palpável no século XX, com Gandhi ― tanto que alguns estados aderiram à Índia depois da independência ter sido concedida, em 1947. E esse fator evidencia a fragmentação política que ainda se fazia sentir. Além disso, foi com o Massacre de 1919 que se conseguiu </w:t>
      </w:r>
      <w:proofErr w:type="gramStart"/>
      <w:r>
        <w:rPr>
          <w:rFonts w:ascii="Arial" w:hAnsi="Arial" w:cs="Arial"/>
        </w:rPr>
        <w:t>unir</w:t>
      </w:r>
      <w:proofErr w:type="gramEnd"/>
      <w:r>
        <w:rPr>
          <w:rFonts w:ascii="Arial" w:hAnsi="Arial" w:cs="Arial"/>
        </w:rPr>
        <w:t xml:space="preserve"> hindus e muçulmanos em uma causa comum, expulsar os ingleses. Portanto, antes disso, é complicado falar em nacionalismo indiano ― muito embora, como disse Ferguson, o Motim seja considerado, pelos indianos, como a “Primeira Guerra de Independência.” (FERGUSON, 2010, p.164).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t xml:space="preserve">Mas, em 1919, as coisas eram diferentes. O que aconteceu em </w:t>
      </w:r>
      <w:proofErr w:type="spellStart"/>
      <w:r>
        <w:rPr>
          <w:rFonts w:ascii="Arial" w:hAnsi="Arial" w:cs="Arial"/>
        </w:rPr>
        <w:t>Amritsar</w:t>
      </w:r>
      <w:proofErr w:type="spellEnd"/>
      <w:r>
        <w:rPr>
          <w:rFonts w:ascii="Arial" w:hAnsi="Arial" w:cs="Arial"/>
        </w:rPr>
        <w:t>, em 1919, na Índia, e em</w:t>
      </w:r>
      <w:r>
        <w:rPr>
          <w:rFonts w:ascii="Arial" w:hAnsi="Arial" w:cs="Arial"/>
          <w:b/>
        </w:rPr>
        <w:t xml:space="preserve"> </w:t>
      </w:r>
      <w:r w:rsidR="00A84621">
        <w:rPr>
          <w:rFonts w:ascii="Arial" w:hAnsi="Arial" w:cs="Arial"/>
        </w:rPr>
        <w:t>1920, na Irlanda, não chegou</w:t>
      </w:r>
      <w:r>
        <w:rPr>
          <w:rFonts w:ascii="Arial" w:hAnsi="Arial" w:cs="Arial"/>
        </w:rPr>
        <w:t xml:space="preserve"> perto do que ocorrera em 1857. Mas seus efeitos foram, seguramente, mais destrutivos para a política imperial.</w:t>
      </w:r>
      <w:r>
        <w:rPr>
          <w:rFonts w:ascii="Arial" w:hAnsi="Arial" w:cs="Arial"/>
          <w:color w:val="000080"/>
        </w:rPr>
        <w:t xml:space="preserve"> </w:t>
      </w:r>
    </w:p>
    <w:p w:rsidR="00C356DA" w:rsidRDefault="00352BC1">
      <w:pPr>
        <w:pStyle w:val="Textodenotaderodap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Massacre de 1919 não fora mera insubordinação. Suas causas estão atreladas aos desdobramentos da Grande Guerra, além das mudanças de cunho político que a Índia vinha sofrendo, tanto na esfera governamental, quanto na organização de setores da sociedade que, nesse momento, liderados por Gandhi, pregavam a independência ― e esse era um fator novo. A Índia ― razão pela qual a Inglaterra estava no Egito ― também preocupou os ingleses em 1919, afinal, “o que antes eram solicitações polidas por autogoverno limitado [o que fizeram as demais colônias, anteriormente, a </w:t>
      </w:r>
      <w:r>
        <w:rPr>
          <w:rFonts w:ascii="Arial" w:hAnsi="Arial" w:cs="Arial"/>
          <w:sz w:val="24"/>
          <w:szCs w:val="24"/>
        </w:rPr>
        <w:lastRenderedPageBreak/>
        <w:t xml:space="preserve">começar pela Irlanda] se transformaram em exigências de governo local” (MACMILLAN, 2004, p. 449). </w:t>
      </w:r>
    </w:p>
    <w:p w:rsidR="00C356DA" w:rsidRDefault="00352BC1">
      <w:pPr>
        <w:pStyle w:val="Textodenotaderodap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Ocorre que a situação era crítica e tumultuada. Uma epidemia de gripe matara 12 milhões de indianos e os muçulmanos estavam indignados com o problema do califado (as notícias vindas de Paris sugeriam que as potências ocidentais pretendiam desmantelá-lo e depor o Sultão). Procurando atenuar a situação, a Inglaterra publicou o que ficou conhecido como Relatório de </w:t>
      </w:r>
      <w:proofErr w:type="spellStart"/>
      <w:r>
        <w:rPr>
          <w:rFonts w:ascii="Arial" w:hAnsi="Arial" w:cs="Arial"/>
          <w:sz w:val="24"/>
          <w:szCs w:val="24"/>
        </w:rPr>
        <w:t>Montagu</w:t>
      </w:r>
      <w:proofErr w:type="spellEnd"/>
      <w:r>
        <w:rPr>
          <w:rFonts w:ascii="Arial" w:hAnsi="Arial" w:cs="Arial"/>
          <w:sz w:val="24"/>
          <w:szCs w:val="24"/>
        </w:rPr>
        <w:t xml:space="preserve">-Chelmsford, um conjunto de propostas baseadas na ideia de uma </w:t>
      </w:r>
      <w:proofErr w:type="spellStart"/>
      <w:r>
        <w:rPr>
          <w:rFonts w:ascii="Arial" w:hAnsi="Arial" w:cs="Arial"/>
          <w:sz w:val="24"/>
          <w:szCs w:val="24"/>
        </w:rPr>
        <w:t>diarquia</w:t>
      </w:r>
      <w:proofErr w:type="spellEnd"/>
      <w:r>
        <w:rPr>
          <w:rFonts w:ascii="Arial" w:hAnsi="Arial" w:cs="Arial"/>
          <w:sz w:val="24"/>
          <w:szCs w:val="24"/>
        </w:rPr>
        <w:t xml:space="preserve">, (MOFFAT, 2010, p.109; FURBANK, 2010, p.68-69), o </w:t>
      </w:r>
      <w:r w:rsidR="00A84621">
        <w:rPr>
          <w:rFonts w:ascii="Arial" w:hAnsi="Arial" w:cs="Arial"/>
          <w:sz w:val="24"/>
          <w:szCs w:val="24"/>
        </w:rPr>
        <w:t>que dava a oportunidade aos indianos</w:t>
      </w:r>
      <w:r>
        <w:rPr>
          <w:rFonts w:ascii="Arial" w:hAnsi="Arial" w:cs="Arial"/>
          <w:sz w:val="24"/>
          <w:szCs w:val="24"/>
        </w:rPr>
        <w:t xml:space="preserve"> de participar do governo. Embora tenha sido bem recebido, e isso tenha acalmado os ânimos, logo em seguida, o Governo Britânico publicou outro documento, esse de caráter muito diferente, e que depois ficou conhecido como Comissão de </w:t>
      </w:r>
      <w:proofErr w:type="spellStart"/>
      <w:r>
        <w:rPr>
          <w:rFonts w:ascii="Arial" w:hAnsi="Arial" w:cs="Arial"/>
          <w:sz w:val="24"/>
          <w:szCs w:val="24"/>
        </w:rPr>
        <w:t>Rowlatt</w:t>
      </w:r>
      <w:proofErr w:type="spellEnd"/>
      <w:r>
        <w:rPr>
          <w:rFonts w:ascii="Arial" w:hAnsi="Arial" w:cs="Arial"/>
          <w:sz w:val="24"/>
          <w:szCs w:val="24"/>
        </w:rPr>
        <w:t xml:space="preserve"> ― o presidente dessa comissão se chamava Sir Sydney </w:t>
      </w:r>
      <w:proofErr w:type="spellStart"/>
      <w:r>
        <w:rPr>
          <w:rFonts w:ascii="Arial" w:hAnsi="Arial" w:cs="Arial"/>
          <w:sz w:val="24"/>
          <w:szCs w:val="24"/>
        </w:rPr>
        <w:t>Rowlatt</w:t>
      </w:r>
      <w:proofErr w:type="spellEnd"/>
      <w:r>
        <w:rPr>
          <w:rFonts w:ascii="Arial" w:hAnsi="Arial" w:cs="Arial"/>
          <w:sz w:val="24"/>
          <w:szCs w:val="24"/>
        </w:rPr>
        <w:t>, dai o nome. Esse documento tinha um teo</w:t>
      </w:r>
      <w:r w:rsidR="00A84621">
        <w:rPr>
          <w:rFonts w:ascii="Arial" w:hAnsi="Arial" w:cs="Arial"/>
          <w:sz w:val="24"/>
          <w:szCs w:val="24"/>
        </w:rPr>
        <w:t>r parecido com a D.O.R.A. — uma lei que, após o estouro do conflito, em 1914, limitou as liberdades civis na Inglaterra.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Índia, ao longo da guerra, uma lei parecida havia entrado em vigor. O fato é que, em 1919, e tendo o conflito acabado em novembro de 1918, através desse novo</w:t>
      </w:r>
      <w:r w:rsidR="00A84621">
        <w:rPr>
          <w:rFonts w:ascii="Arial" w:hAnsi="Arial" w:cs="Arial"/>
          <w:sz w:val="24"/>
          <w:szCs w:val="24"/>
        </w:rPr>
        <w:t xml:space="preserve"> documento, ela seria mantida </w:t>
      </w:r>
      <w:r>
        <w:rPr>
          <w:rFonts w:ascii="Arial" w:hAnsi="Arial" w:cs="Arial"/>
          <w:sz w:val="24"/>
          <w:szCs w:val="24"/>
        </w:rPr>
        <w:t xml:space="preserve">por pelo menos mais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anos. Diante disso, a população agiu à convocação de Gandhi para uma greve geral como protesto. 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t xml:space="preserve">No dia 30 de março, uma multidão de 30 mil pessoas havia se reunido em uma manifestação pacífica em </w:t>
      </w:r>
      <w:proofErr w:type="spellStart"/>
      <w:r>
        <w:rPr>
          <w:rFonts w:ascii="Arial" w:hAnsi="Arial" w:cs="Arial"/>
        </w:rPr>
        <w:t>Amritsar</w:t>
      </w:r>
      <w:proofErr w:type="spellEnd"/>
      <w:r>
        <w:rPr>
          <w:rFonts w:ascii="Arial" w:hAnsi="Arial" w:cs="Arial"/>
        </w:rPr>
        <w:t xml:space="preserve">. No dia 6 de abril, houve mais uma manifestação. Foi então que dois líderes delas foram presos e deportados. A população reagiu a isso com violência ― o que Gandhi não esperava. Em meio ao tumulto, no dia 11, chegou o general </w:t>
      </w:r>
      <w:proofErr w:type="spellStart"/>
      <w:r>
        <w:rPr>
          <w:rFonts w:ascii="Arial" w:hAnsi="Arial" w:cs="Arial"/>
        </w:rPr>
        <w:t>Dyer</w:t>
      </w:r>
      <w:proofErr w:type="spellEnd"/>
      <w:r>
        <w:rPr>
          <w:rFonts w:ascii="Arial" w:hAnsi="Arial" w:cs="Arial"/>
        </w:rPr>
        <w:t xml:space="preserve">, que deu ordens expressas proibindo qualquer tipo de concentração de pessoas. Mas a população o ignorou e no dia 13, 20 mil pessoas se aglomeraram no </w:t>
      </w:r>
      <w:proofErr w:type="spellStart"/>
      <w:r>
        <w:rPr>
          <w:rFonts w:ascii="Arial" w:hAnsi="Arial" w:cs="Arial"/>
        </w:rPr>
        <w:t>Jallianwalla</w:t>
      </w:r>
      <w:proofErr w:type="spellEnd"/>
      <w:r>
        <w:rPr>
          <w:rFonts w:ascii="Arial" w:hAnsi="Arial" w:cs="Arial"/>
        </w:rPr>
        <w:t xml:space="preserve"> Bag num desafio a suas ordens. Sem escrúpulos e com a saúde debilitada, ordenou que seus soldados cercassem a multidão e que abrissem fogo. “A multidão não tinha nenhuma chance de se dispersar, já que o terreno de dois hectares do local do encontro era cercado por muros dos quatro lados e havia apenas uma entrada estreita”</w:t>
      </w:r>
      <w:r>
        <w:rPr>
          <w:rStyle w:val="ncoradenotaderodap"/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(FERGUSON, 2010, p.343-344). O saldo: 379 mortos e 1500 feridos.  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lastRenderedPageBreak/>
        <w:t xml:space="preserve">No caso da Irlanda, a repercussão de </w:t>
      </w:r>
      <w:proofErr w:type="spellStart"/>
      <w:r>
        <w:rPr>
          <w:rFonts w:ascii="Arial" w:hAnsi="Arial" w:cs="Arial"/>
        </w:rPr>
        <w:t>Croke</w:t>
      </w:r>
      <w:proofErr w:type="spellEnd"/>
      <w:r>
        <w:rPr>
          <w:rFonts w:ascii="Arial" w:hAnsi="Arial" w:cs="Arial"/>
        </w:rPr>
        <w:t xml:space="preserve"> Park teve efeito devastador porque havia séculos que a população da ilha se mostrava insatisfeita com sua situação. Na verdade, a situação da Irlanda estava se tornando insustentável. Como disse Said, o nacionalismo irlandês, pelo menos nos últimos dois </w:t>
      </w:r>
      <w:proofErr w:type="gramStart"/>
      <w:r>
        <w:rPr>
          <w:rFonts w:ascii="Arial" w:hAnsi="Arial" w:cs="Arial"/>
        </w:rPr>
        <w:t>séculos, esteve</w:t>
      </w:r>
      <w:proofErr w:type="gramEnd"/>
      <w:r>
        <w:rPr>
          <w:rFonts w:ascii="Arial" w:hAnsi="Arial" w:cs="Arial"/>
        </w:rPr>
        <w:t xml:space="preserve"> “marcado por lutas intestinas sobre a questão da terra, da Igreja, a natureza dos líderes e partidos.” Contudo, o que prevalecia era o esforço por “reconquistar o controle da terra onde, nos termos da proclamação de 1916</w:t>
      </w:r>
      <w:r w:rsidR="00A846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fundou a República Irlandesa, ‘o direito do povo da Irlanda à propriedade, e à livre determinação dos direitos irlandeses, [deve] ser soberano e irrevogável’”</w:t>
      </w:r>
      <w:r>
        <w:rPr>
          <w:rStyle w:val="ncoradenotaderodap"/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(SAID, 2011, p.367).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</w:rPr>
        <w:t>O fim da guerra com a Alemanha em novembro de 1918 havia deixado o Império mais vulnerável, o que significa dizer que nenhum ato de teor separatista seria aceitável naquele momento. Politicamente falando, a integridade do Império era prioridade. No entanto, o republicanismo irlandês se mostrou desafiador. O Exército Republicano Irlandês travava uma guerra de guerrilha com os ingleses, e entre os atos de terrorismo para desestabilização da força britânica na ilha, houve uma série de assassinatos de agentes</w:t>
      </w:r>
      <w:r w:rsidR="00A84621">
        <w:rPr>
          <w:rFonts w:ascii="Arial" w:hAnsi="Arial" w:cs="Arial"/>
        </w:rPr>
        <w:t xml:space="preserve"> ingleses</w:t>
      </w:r>
      <w:r>
        <w:rPr>
          <w:rFonts w:ascii="Arial" w:hAnsi="Arial" w:cs="Arial"/>
        </w:rPr>
        <w:t xml:space="preserve">, o que gerou a retaliação ― os britânicos cercaram o estádio de </w:t>
      </w:r>
      <w:proofErr w:type="spellStart"/>
      <w:r>
        <w:rPr>
          <w:rFonts w:ascii="Arial" w:hAnsi="Arial" w:cs="Arial"/>
        </w:rPr>
        <w:t>Croke</w:t>
      </w:r>
      <w:proofErr w:type="spellEnd"/>
      <w:r>
        <w:rPr>
          <w:rFonts w:ascii="Arial" w:hAnsi="Arial" w:cs="Arial"/>
        </w:rPr>
        <w:t xml:space="preserve"> Park e abriram fogo contra multidão na manhã de 21 de novembro de 1920. Um ato extremado que acabou causando tanto repúdio na Inglaterra quanto na própria Irlanda. 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E.M.Forster</w:t>
      </w:r>
      <w:proofErr w:type="spellEnd"/>
      <w:r>
        <w:rPr>
          <w:rFonts w:ascii="Arial" w:hAnsi="Arial" w:cs="Arial"/>
        </w:rPr>
        <w:t xml:space="preserve"> não ficou indiferente ao que acontecia. De alguma maneira ele o demonstrou, em seu último romance, o que pensava desses acontecimentos. Suas concepções com relação à política imperial britânica estão mais próximas das da Senhora Moore do que de qualquer outro personagem. Contudo, elas foram mudando com o passar do tempo. Ao longo da década de 1920 ele passou por um processo d</w:t>
      </w:r>
      <w:r w:rsidR="0043698C">
        <w:rPr>
          <w:rFonts w:ascii="Arial" w:hAnsi="Arial" w:cs="Arial"/>
        </w:rPr>
        <w:t xml:space="preserve">e depuração interna, perdendo a timidez que o caracterizava </w:t>
      </w:r>
      <w:r w:rsidR="004474BF">
        <w:rPr>
          <w:rFonts w:ascii="Arial" w:hAnsi="Arial" w:cs="Arial"/>
        </w:rPr>
        <w:t xml:space="preserve">até então </w:t>
      </w:r>
      <w:r>
        <w:rPr>
          <w:rFonts w:ascii="Arial" w:hAnsi="Arial" w:cs="Arial"/>
        </w:rPr>
        <w:t xml:space="preserve">― “sua coragem moral”, aquela que apareceria nas coletâneas </w:t>
      </w:r>
      <w:proofErr w:type="spellStart"/>
      <w:r>
        <w:rPr>
          <w:rFonts w:ascii="Arial" w:hAnsi="Arial" w:cs="Arial"/>
          <w:i/>
        </w:rPr>
        <w:t>Abinger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Harvest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Two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Cheers</w:t>
      </w:r>
      <w:proofErr w:type="spellEnd"/>
      <w:r>
        <w:rPr>
          <w:rFonts w:ascii="Arial" w:hAnsi="Arial" w:cs="Arial"/>
          <w:i/>
        </w:rPr>
        <w:t xml:space="preserve"> for </w:t>
      </w:r>
      <w:proofErr w:type="spellStart"/>
      <w:r>
        <w:rPr>
          <w:rFonts w:ascii="Arial" w:hAnsi="Arial" w:cs="Arial"/>
          <w:i/>
        </w:rPr>
        <w:t>Democracy</w:t>
      </w:r>
      <w:proofErr w:type="spellEnd"/>
      <w:r>
        <w:rPr>
          <w:rFonts w:ascii="Arial" w:hAnsi="Arial" w:cs="Arial"/>
        </w:rPr>
        <w:t xml:space="preserve">, “emergiu apenas depois da publicação de </w:t>
      </w:r>
      <w:r>
        <w:rPr>
          <w:rFonts w:ascii="Arial" w:hAnsi="Arial" w:cs="Arial"/>
          <w:i/>
        </w:rPr>
        <w:t xml:space="preserve">A </w:t>
      </w:r>
      <w:proofErr w:type="spellStart"/>
      <w:r>
        <w:rPr>
          <w:rFonts w:ascii="Arial" w:hAnsi="Arial" w:cs="Arial"/>
          <w:i/>
        </w:rPr>
        <w:t>Passage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India</w:t>
      </w:r>
      <w:proofErr w:type="spellEnd"/>
      <w:r>
        <w:rPr>
          <w:rFonts w:ascii="Arial" w:hAnsi="Arial" w:cs="Arial"/>
        </w:rPr>
        <w:t>, que o fez famoso, e a suas ideias serem respeitadas, e depois que ele viveu plenamente sua sexualidade em um relacionamento,”</w:t>
      </w:r>
      <w:r>
        <w:rPr>
          <w:rStyle w:val="ncoradenotaderodap"/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(BEUAMAN, 1993, p.285) como observou Nicola </w:t>
      </w:r>
      <w:proofErr w:type="spellStart"/>
      <w:r>
        <w:rPr>
          <w:rFonts w:ascii="Arial" w:hAnsi="Arial" w:cs="Arial"/>
        </w:rPr>
        <w:t>Beuaman</w:t>
      </w:r>
      <w:proofErr w:type="spellEnd"/>
      <w:r>
        <w:rPr>
          <w:rFonts w:ascii="Arial" w:hAnsi="Arial" w:cs="Arial"/>
        </w:rPr>
        <w:t>.</w:t>
      </w:r>
    </w:p>
    <w:p w:rsidR="00C356DA" w:rsidRDefault="00352BC1">
      <w:pPr>
        <w:pStyle w:val="Padro"/>
        <w:spacing w:line="360" w:lineRule="auto"/>
        <w:jc w:val="both"/>
      </w:pP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</w:rPr>
        <w:t xml:space="preserve">Em carta a </w:t>
      </w:r>
      <w:proofErr w:type="spellStart"/>
      <w:r>
        <w:rPr>
          <w:rFonts w:ascii="Arial" w:hAnsi="Arial" w:cs="Arial"/>
        </w:rPr>
        <w:t>Masood</w:t>
      </w:r>
      <w:proofErr w:type="spellEnd"/>
      <w:r>
        <w:rPr>
          <w:rFonts w:ascii="Arial" w:hAnsi="Arial" w:cs="Arial"/>
        </w:rPr>
        <w:t>, de setembro de 1922, ele escreveu:</w:t>
      </w:r>
    </w:p>
    <w:p w:rsidR="00C356DA" w:rsidRDefault="00C356DA">
      <w:pPr>
        <w:pStyle w:val="Padro"/>
        <w:spacing w:line="360" w:lineRule="auto"/>
        <w:jc w:val="both"/>
      </w:pPr>
    </w:p>
    <w:p w:rsidR="00C356DA" w:rsidRDefault="00352BC1">
      <w:pPr>
        <w:pStyle w:val="Padro"/>
        <w:spacing w:line="360" w:lineRule="auto"/>
        <w:ind w:left="2268"/>
        <w:jc w:val="both"/>
      </w:pPr>
      <w:r>
        <w:rPr>
          <w:rFonts w:ascii="Arial" w:hAnsi="Arial" w:cs="Arial"/>
          <w:sz w:val="20"/>
          <w:szCs w:val="20"/>
        </w:rPr>
        <w:t>Quando comecei esse livro [</w:t>
      </w:r>
      <w:r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Passage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India</w:t>
      </w:r>
      <w:proofErr w:type="spellEnd"/>
      <w:r>
        <w:rPr>
          <w:rFonts w:ascii="Arial" w:hAnsi="Arial" w:cs="Arial"/>
          <w:sz w:val="20"/>
          <w:szCs w:val="20"/>
        </w:rPr>
        <w:t>], pensei em uma ponte simbólica entre o Ocidente e o Oriente, mas essa concepção se foi, e meu senso de razão me pr</w:t>
      </w:r>
      <w:r w:rsidR="00C25D9F">
        <w:rPr>
          <w:rFonts w:ascii="Arial" w:hAnsi="Arial" w:cs="Arial"/>
          <w:sz w:val="20"/>
          <w:szCs w:val="20"/>
        </w:rPr>
        <w:t>oíbe [pensar] algo tão louvável</w:t>
      </w:r>
      <w:r>
        <w:rPr>
          <w:rFonts w:ascii="Arial" w:hAnsi="Arial" w:cs="Arial"/>
          <w:sz w:val="20"/>
          <w:szCs w:val="20"/>
        </w:rPr>
        <w:t>. Acho que muitos indianos, assim como muitos ingleses, são desprezíveis e não estou interessado se eles são simpáticos com os outros ou não (FORSTER apud FURBANK 2010, p.106).</w:t>
      </w:r>
    </w:p>
    <w:p w:rsidR="00C356DA" w:rsidRDefault="00C356DA">
      <w:pPr>
        <w:pStyle w:val="Padro"/>
        <w:spacing w:line="360" w:lineRule="auto"/>
        <w:jc w:val="both"/>
      </w:pPr>
    </w:p>
    <w:p w:rsidR="00C356DA" w:rsidRDefault="00352BC1" w:rsidP="0043698C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  <w:color w:val="auto"/>
        </w:rPr>
        <w:t>Essa passagem nos faz pensar em duas coisas: primeiro, sua visão idealista fora suplantada por uma mais realista com o passar do tempo, o que ajuda a explicar a dificuldade em concluir o romance ― ele teve de fazer modificações na história e no tom de sua escrita por conta dessa mudança. Além disso, o fato de ter levado mais de dez anos para ser concluído, sendo que n</w:t>
      </w:r>
      <w:r w:rsidR="00A84621">
        <w:rPr>
          <w:rFonts w:ascii="Arial" w:hAnsi="Arial" w:cs="Arial"/>
          <w:color w:val="auto"/>
        </w:rPr>
        <w:t>esse espaço de tempo, entre 1912-1924</w:t>
      </w:r>
      <w:r>
        <w:rPr>
          <w:rFonts w:ascii="Arial" w:hAnsi="Arial" w:cs="Arial"/>
          <w:color w:val="auto"/>
        </w:rPr>
        <w:t xml:space="preserve">, nos coloca diante do segundo fator a ser destacado com base nessa carta: a segunda viagem à Índia. O Coronel Leslie, que à época era secretário particular do Marajá de </w:t>
      </w:r>
      <w:proofErr w:type="spellStart"/>
      <w:r>
        <w:rPr>
          <w:rFonts w:ascii="Arial" w:hAnsi="Arial" w:cs="Arial"/>
          <w:color w:val="auto"/>
        </w:rPr>
        <w:t>Dewas</w:t>
      </w:r>
      <w:proofErr w:type="spellEnd"/>
      <w:r>
        <w:rPr>
          <w:rFonts w:ascii="Arial" w:hAnsi="Arial" w:cs="Arial"/>
          <w:color w:val="auto"/>
        </w:rPr>
        <w:t xml:space="preserve">, um estado nativo na região central da Índia, sofreu um acidente grave ao tentar descer de um trem em movimento. Foi isso o que ele levou à Inglaterra, para se recuperar, enquanto </w:t>
      </w:r>
      <w:proofErr w:type="spellStart"/>
      <w:r>
        <w:rPr>
          <w:rFonts w:ascii="Arial" w:hAnsi="Arial" w:cs="Arial"/>
          <w:color w:val="auto"/>
        </w:rPr>
        <w:t>E.M.Forster</w:t>
      </w:r>
      <w:proofErr w:type="spellEnd"/>
      <w:r>
        <w:rPr>
          <w:rFonts w:ascii="Arial" w:hAnsi="Arial" w:cs="Arial"/>
          <w:color w:val="auto"/>
        </w:rPr>
        <w:t xml:space="preserve"> seguia a Índia para assumir o seu cargo interinamente.</w:t>
      </w:r>
      <w:r>
        <w:rPr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E ainda que tenham sido apenas seis meses, nesse pouco tempo ele enfrentou inúmeros problemas, muitos deles causados por conta de sua ingenuidade: ele trocou cartas com o seu predecessor, o que causou um profundo mal-estar. As cartas, embora de um conteúdo incauto (tratavam das atividades cotidianas), despertaram a desconfiança e a ira do Coronel, que pretendia voltar à Índia e reassumir suas funções. Além disso, os jardins do novo Palácio, que tinham começado a ser erguidos quando da primeira visita de </w:t>
      </w:r>
      <w:proofErr w:type="spellStart"/>
      <w:r>
        <w:rPr>
          <w:rFonts w:ascii="Arial" w:hAnsi="Arial" w:cs="Arial"/>
          <w:color w:val="auto"/>
        </w:rPr>
        <w:t>Forster</w:t>
      </w:r>
      <w:proofErr w:type="spellEnd"/>
      <w:r>
        <w:rPr>
          <w:rFonts w:ascii="Arial" w:hAnsi="Arial" w:cs="Arial"/>
          <w:color w:val="auto"/>
        </w:rPr>
        <w:t>, em 1912, acabaram se mostrando um tormento. O Coronel havia planejado um imenso jardim, mas se esqueceu de completar o sistema de irrigação. O resultad</w:t>
      </w:r>
      <w:r w:rsidR="0048774C">
        <w:rPr>
          <w:rFonts w:ascii="Arial" w:hAnsi="Arial" w:cs="Arial"/>
          <w:color w:val="auto"/>
        </w:rPr>
        <w:t>o não podia ser outro: os jardi</w:t>
      </w:r>
      <w:r>
        <w:rPr>
          <w:rFonts w:ascii="Arial" w:hAnsi="Arial" w:cs="Arial"/>
          <w:color w:val="auto"/>
        </w:rPr>
        <w:t xml:space="preserve">ns se tornaram “um monte de estrume e lixo” (1983, p.142), como escreveu o Coronel em carta ao Marajá. “Fomos trocando cartas de maneira civilizada, mas com um pouco de apreensão de minha parte: ele parecia incomodado” (1983, p.142). O Coronel achava que ele tramava manchar sua reputação e, com isso, ficar com o cargo — “o Coronel nunca entendeu que eu não queria ficar em </w:t>
      </w:r>
      <w:proofErr w:type="spellStart"/>
      <w:r>
        <w:rPr>
          <w:rFonts w:ascii="Arial" w:hAnsi="Arial" w:cs="Arial"/>
          <w:color w:val="auto"/>
        </w:rPr>
        <w:t>Dewas</w:t>
      </w:r>
      <w:proofErr w:type="spellEnd"/>
      <w:r>
        <w:rPr>
          <w:rFonts w:ascii="Arial" w:hAnsi="Arial" w:cs="Arial"/>
          <w:color w:val="auto"/>
        </w:rPr>
        <w:t xml:space="preserve"> de maneira definitiva,” (FORSTER, 1983, p.142), escreveria ele anos depois. Assim, diante </w:t>
      </w:r>
      <w:r>
        <w:rPr>
          <w:rFonts w:ascii="Arial" w:hAnsi="Arial" w:cs="Arial"/>
          <w:color w:val="auto"/>
        </w:rPr>
        <w:lastRenderedPageBreak/>
        <w:t xml:space="preserve">das desconfianças, e até das ameaças do Coronel, a situação foi ficando cada vez mais complicada para o Marajá, que em breve teria que aceitá-lo de volta. Nos últimos tempos, a situação ficou praticamente insustentável.  </w:t>
      </w: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  <w:color w:val="auto"/>
        </w:rPr>
        <w:t xml:space="preserve">Deixar a Índia depois de tantos problemas deve ter sido um alívio. O certo é que tudo isso suscitou algumas mudanças de concepções. Teria sido o ressentimento com o ocorrido em </w:t>
      </w:r>
      <w:proofErr w:type="spellStart"/>
      <w:r>
        <w:rPr>
          <w:rFonts w:ascii="Arial" w:hAnsi="Arial" w:cs="Arial"/>
          <w:color w:val="auto"/>
        </w:rPr>
        <w:t>Dewas</w:t>
      </w:r>
      <w:proofErr w:type="spellEnd"/>
      <w:r>
        <w:rPr>
          <w:rFonts w:ascii="Arial" w:hAnsi="Arial" w:cs="Arial"/>
          <w:color w:val="auto"/>
        </w:rPr>
        <w:t xml:space="preserve"> que modificou sua visão sobre os indianos? Talvez. O fato é que sua vida pessoal como um todo começou a se sobrepor às suas antigas inquietações, e até mesmo à literatura. Os desdobramentos disso, em conjunto com o que ele observava na esfera política, algo que era discutido por seus amigos do </w:t>
      </w:r>
      <w:proofErr w:type="spellStart"/>
      <w:r>
        <w:rPr>
          <w:rFonts w:ascii="Arial" w:hAnsi="Arial" w:cs="Arial"/>
          <w:i/>
          <w:color w:val="auto"/>
        </w:rPr>
        <w:t>Bloomsbury</w:t>
      </w:r>
      <w:proofErr w:type="spellEnd"/>
      <w:r>
        <w:rPr>
          <w:rFonts w:ascii="Arial" w:hAnsi="Arial" w:cs="Arial"/>
          <w:color w:val="auto"/>
        </w:rPr>
        <w:t xml:space="preserve">, o fizeram se distanciar da ficção. De muitas maneiras, depois de retornar da Índia e de concluir </w:t>
      </w:r>
      <w:r>
        <w:rPr>
          <w:rFonts w:ascii="Arial" w:hAnsi="Arial" w:cs="Arial"/>
          <w:i/>
          <w:color w:val="auto"/>
        </w:rPr>
        <w:t xml:space="preserve">A </w:t>
      </w:r>
      <w:proofErr w:type="spellStart"/>
      <w:r>
        <w:rPr>
          <w:rFonts w:ascii="Arial" w:hAnsi="Arial" w:cs="Arial"/>
          <w:i/>
          <w:color w:val="auto"/>
        </w:rPr>
        <w:t>Passage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to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India</w:t>
      </w:r>
      <w:proofErr w:type="spellEnd"/>
      <w:r>
        <w:rPr>
          <w:rFonts w:ascii="Arial" w:hAnsi="Arial" w:cs="Arial"/>
          <w:color w:val="auto"/>
        </w:rPr>
        <w:t xml:space="preserve">, ele estava dando um passo para iniciar uma nova fase em sua vida. </w:t>
      </w:r>
    </w:p>
    <w:p w:rsidR="00C356DA" w:rsidRDefault="00C356DA">
      <w:pPr>
        <w:pStyle w:val="Padro"/>
        <w:spacing w:line="360" w:lineRule="auto"/>
        <w:ind w:firstLine="708"/>
        <w:jc w:val="both"/>
      </w:pPr>
    </w:p>
    <w:p w:rsidR="00C356DA" w:rsidRDefault="00352BC1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  <w:b/>
          <w:color w:val="auto"/>
        </w:rPr>
        <w:t>Conclusões</w:t>
      </w:r>
    </w:p>
    <w:p w:rsidR="00C356DA" w:rsidRDefault="00C356DA">
      <w:pPr>
        <w:pStyle w:val="Padro"/>
        <w:spacing w:line="360" w:lineRule="auto"/>
        <w:ind w:firstLine="708"/>
        <w:jc w:val="both"/>
      </w:pPr>
    </w:p>
    <w:p w:rsidR="00C356DA" w:rsidRDefault="00352BC1">
      <w:pPr>
        <w:spacing w:after="0" w:line="360" w:lineRule="auto"/>
        <w:ind w:firstLine="709"/>
        <w:jc w:val="both"/>
      </w:pPr>
      <w:proofErr w:type="spellStart"/>
      <w:r>
        <w:rPr>
          <w:rFonts w:ascii="Arial" w:hAnsi="Arial" w:cs="Arial"/>
          <w:sz w:val="24"/>
          <w:szCs w:val="24"/>
        </w:rPr>
        <w:t>Forster</w:t>
      </w:r>
      <w:proofErr w:type="spellEnd"/>
      <w:r>
        <w:rPr>
          <w:rFonts w:ascii="Arial" w:hAnsi="Arial" w:cs="Arial"/>
          <w:sz w:val="24"/>
          <w:szCs w:val="24"/>
        </w:rPr>
        <w:t xml:space="preserve"> reagiu à sua maneira ao mundo que o rodeava — na infância se isolou, dado o ambiente opressor em </w:t>
      </w:r>
      <w:proofErr w:type="spellStart"/>
      <w:r>
        <w:rPr>
          <w:rFonts w:ascii="Arial" w:hAnsi="Arial" w:cs="Arial"/>
          <w:sz w:val="24"/>
          <w:szCs w:val="24"/>
        </w:rPr>
        <w:t>Tonbridge</w:t>
      </w:r>
      <w:proofErr w:type="spellEnd"/>
      <w:r>
        <w:rPr>
          <w:rFonts w:ascii="Arial" w:hAnsi="Arial" w:cs="Arial"/>
          <w:sz w:val="24"/>
          <w:szCs w:val="24"/>
        </w:rPr>
        <w:t>; em Cambridge conseguiu se sair melhor, encontrando pessoas com que compartilhava suas ideias e que o fizeram amadurecer e a aderir a ideias e concepções que sustentaria pelo resto de sua vida.</w:t>
      </w:r>
      <w:r>
        <w:rPr>
          <w:rFonts w:ascii="Arial" w:hAnsi="Arial" w:cs="Arial"/>
          <w:color w:val="000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entanto, à época da eclosão do conflito, sua vida era outra, e seu enfrentamento se dava com o mundo real. E ele resistiu a esse mundo. Resistiu às mudanças, resistiu a sua dureza e a incerteza que o caracterizava. Resistiu. Resistiu porque essa era uma reação quase tão natural quanto esperada. Depois que retornou de Alexandria, e durante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uma década que se seguiu, ele se sentia inseguro, dada a imprevisibilidade daquele mundo ameaçado pela ideia de uma revolução comunista, pela crise econômica e pelo avanço do fascismo. Tinha dificuldades para assimilar as mudanças em curso e achava que tudo estava acabado — em carta a seu amigo indiano, </w:t>
      </w:r>
      <w:proofErr w:type="spellStart"/>
      <w:r>
        <w:rPr>
          <w:rFonts w:ascii="Arial" w:hAnsi="Arial" w:cs="Arial"/>
          <w:sz w:val="24"/>
          <w:szCs w:val="24"/>
        </w:rPr>
        <w:t>Syed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Massod</w:t>
      </w:r>
      <w:proofErr w:type="spellEnd"/>
      <w:r>
        <w:rPr>
          <w:rFonts w:ascii="Arial" w:hAnsi="Arial" w:cs="Arial"/>
          <w:sz w:val="24"/>
          <w:szCs w:val="24"/>
        </w:rPr>
        <w:t>, de 29 de dezembro de 1915, ele escreveu: “Tudo com o que eu me importo na civilização se foi para sempre e eu estou tentando viver sem novas esperanças ou medos” (FURBANK; LAGO, 1983, p.232-233).</w:t>
      </w:r>
    </w:p>
    <w:p w:rsidR="00C356DA" w:rsidRDefault="00352BC1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Havia uma sensação de ruptura irreversível. O próprio </w:t>
      </w:r>
      <w:proofErr w:type="spellStart"/>
      <w:r>
        <w:rPr>
          <w:rFonts w:ascii="Arial" w:hAnsi="Arial" w:cs="Arial"/>
          <w:sz w:val="24"/>
          <w:szCs w:val="24"/>
        </w:rPr>
        <w:t>Hobsbawm</w:t>
      </w:r>
      <w:proofErr w:type="spellEnd"/>
      <w:r>
        <w:rPr>
          <w:rFonts w:ascii="Arial" w:hAnsi="Arial" w:cs="Arial"/>
          <w:sz w:val="24"/>
          <w:szCs w:val="24"/>
        </w:rPr>
        <w:t xml:space="preserve"> o admite: “Para os que </w:t>
      </w:r>
      <w:proofErr w:type="gramStart"/>
      <w:r>
        <w:rPr>
          <w:rFonts w:ascii="Arial" w:hAnsi="Arial" w:cs="Arial"/>
          <w:sz w:val="24"/>
          <w:szCs w:val="24"/>
        </w:rPr>
        <w:t>cresceram</w:t>
      </w:r>
      <w:proofErr w:type="gramEnd"/>
      <w:r>
        <w:rPr>
          <w:rFonts w:ascii="Arial" w:hAnsi="Arial" w:cs="Arial"/>
          <w:sz w:val="24"/>
          <w:szCs w:val="24"/>
        </w:rPr>
        <w:t xml:space="preserve"> antes de 1914, o contraste foi tão </w:t>
      </w:r>
      <w:r>
        <w:rPr>
          <w:rFonts w:ascii="Arial" w:hAnsi="Arial" w:cs="Arial"/>
          <w:sz w:val="24"/>
          <w:szCs w:val="24"/>
        </w:rPr>
        <w:lastRenderedPageBreak/>
        <w:t>impressionante que muitos — inclusive a geração dos pais deste historiador, ou pelo menos de seus membros centro-europeus — se recusavam a ver qualquer continuidade com o passado. ‘Paz’ significava ‘antes de 1914’; depois disso veio</w:t>
      </w:r>
      <w:r w:rsidR="00C25D9F">
        <w:rPr>
          <w:rFonts w:ascii="Arial" w:hAnsi="Arial" w:cs="Arial"/>
          <w:sz w:val="24"/>
          <w:szCs w:val="24"/>
        </w:rPr>
        <w:t xml:space="preserve"> algo que não merecia esse nome</w:t>
      </w:r>
      <w:r>
        <w:rPr>
          <w:rFonts w:ascii="Arial" w:hAnsi="Arial" w:cs="Arial"/>
          <w:sz w:val="24"/>
          <w:szCs w:val="24"/>
        </w:rPr>
        <w:t>” (HOBSBAWM, 2011, p.30).</w:t>
      </w:r>
    </w:p>
    <w:p w:rsidR="00C356DA" w:rsidRDefault="00352BC1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Diante dessas mudanças, na medida em que a década de 1920 foi avançando, ele não conseguiu ficar indiferente como tinha feito antes. Sua reação é um reflexo da maneira, como escreveu Virginia Woolf, ele era “extremamente </w:t>
      </w:r>
      <w:r w:rsidRPr="00C1733F">
        <w:rPr>
          <w:rFonts w:ascii="Arial" w:hAnsi="Arial" w:cs="Arial"/>
          <w:sz w:val="24"/>
          <w:szCs w:val="24"/>
        </w:rPr>
        <w:t>suscetível a influ</w:t>
      </w:r>
      <w:r w:rsidR="00C1733F" w:rsidRPr="00C1733F">
        <w:rPr>
          <w:rFonts w:ascii="Arial" w:hAnsi="Arial" w:cs="Arial"/>
          <w:sz w:val="24"/>
          <w:szCs w:val="24"/>
        </w:rPr>
        <w:t xml:space="preserve">ências de seu tempo” </w:t>
      </w:r>
      <w:r w:rsidR="00C1733F">
        <w:rPr>
          <w:rFonts w:ascii="Arial" w:hAnsi="Arial" w:cs="Arial"/>
          <w:sz w:val="24"/>
          <w:szCs w:val="24"/>
        </w:rPr>
        <w:t xml:space="preserve">(WOOLF </w:t>
      </w:r>
      <w:r w:rsidR="00C1733F" w:rsidRPr="00C1733F">
        <w:rPr>
          <w:rFonts w:ascii="Arial" w:hAnsi="Arial" w:cs="Arial"/>
          <w:sz w:val="24"/>
          <w:szCs w:val="24"/>
        </w:rPr>
        <w:t>apud BEUAMAN, 1993, p.285)</w:t>
      </w:r>
      <w:r w:rsidRPr="00C173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Mais do que qualquer outra coisa, seja a sexualidade ou a falta de ímpeto criativo, a situação social e política da Inglaterra, e da Europa, dos anos que se seguiram a Versalhes, funcionou como uma espécie de buraco negro sugando-o para dentro. De repente ele se viu atraído pela complexidade dos problemas a seu redor e viu o quanto sua ficção era impotente diante disso. No começo da década de 1920, quando ainda estava em vias de concluir </w:t>
      </w:r>
      <w:r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i/>
          <w:sz w:val="24"/>
          <w:szCs w:val="24"/>
        </w:rPr>
        <w:t>Passage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to</w:t>
      </w:r>
      <w:proofErr w:type="spellEnd"/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proofErr w:type="gramEnd"/>
      <w:r>
        <w:rPr>
          <w:rFonts w:ascii="Arial" w:hAnsi="Arial" w:cs="Arial"/>
          <w:i/>
          <w:sz w:val="24"/>
          <w:szCs w:val="24"/>
        </w:rPr>
        <w:t>India</w:t>
      </w:r>
      <w:proofErr w:type="spellEnd"/>
      <w:r>
        <w:rPr>
          <w:rFonts w:ascii="Arial" w:hAnsi="Arial" w:cs="Arial"/>
          <w:sz w:val="24"/>
          <w:szCs w:val="24"/>
        </w:rPr>
        <w:t>, ele já havia começado a sentir os efeitos dessa situação sobre sua literatura e a dar pequenas demonstrações de que ele deveria seguir um outro caminho. Em seu diário, em 18 de setembro de 1923, Virginia Woolf registrou uma conversa entre eles: “Falamos sobre os seus romances. ‘Não me parece que eu seja um romancista,’ afirmou ele. Subitamente eu disse: ‘Não, não me parece que seja.’ Ah! exclamou ele vivamente, interessado, sem se melindrar. Mas o L[</w:t>
      </w:r>
      <w:proofErr w:type="spellStart"/>
      <w:r>
        <w:rPr>
          <w:rFonts w:ascii="Arial" w:hAnsi="Arial" w:cs="Arial"/>
          <w:sz w:val="24"/>
          <w:szCs w:val="24"/>
        </w:rPr>
        <w:t>eonad</w:t>
      </w:r>
      <w:proofErr w:type="spellEnd"/>
      <w:r>
        <w:rPr>
          <w:rFonts w:ascii="Arial" w:hAnsi="Arial" w:cs="Arial"/>
          <w:sz w:val="24"/>
          <w:szCs w:val="24"/>
        </w:rPr>
        <w:t>] negou. ‘Não estou de modo nenhum abatido por causa da minha carreira literária,’ disse ele” (WOOLF, 1985, p.329).</w:t>
      </w:r>
    </w:p>
    <w:p w:rsidR="00C356DA" w:rsidRDefault="00352BC1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crise que se seguiu após a publicação </w:t>
      </w:r>
      <w:proofErr w:type="spellStart"/>
      <w:r>
        <w:rPr>
          <w:rFonts w:ascii="Arial" w:hAnsi="Arial" w:cs="Arial"/>
          <w:i/>
          <w:sz w:val="24"/>
          <w:szCs w:val="24"/>
        </w:rPr>
        <w:t>Howards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 xml:space="preserve"> parecia ser apenas</w:t>
      </w:r>
      <w:r w:rsidR="00C1733F">
        <w:rPr>
          <w:rFonts w:ascii="Arial" w:hAnsi="Arial" w:cs="Arial"/>
          <w:sz w:val="24"/>
          <w:szCs w:val="24"/>
        </w:rPr>
        <w:t xml:space="preserve"> uma coisa momentânea.</w:t>
      </w:r>
      <w:r>
        <w:rPr>
          <w:rFonts w:ascii="Arial" w:hAnsi="Arial" w:cs="Arial"/>
          <w:sz w:val="24"/>
          <w:szCs w:val="24"/>
        </w:rPr>
        <w:t xml:space="preserve"> No entanto, com o passar dos anos e adentrando a década de 1920, ele começou a perceber que as coisas eram muito mais sérias e complexas do que pareciam à primeira vista. Não era um mero bloqueio criativo, mas um completo distanciamento da ficção o que se operava. Não era apenas uma crise de ansiedade gerada pelo sucesso repentino de seu último livro, porque nenhuma ansiedade dura tanto tempo, mas o começo do fim de sua carreira como escritor. E o interessante é que ele parecia não se preocupar muito com isso, como </w:t>
      </w:r>
      <w:r w:rsidR="00C1733F">
        <w:rPr>
          <w:rFonts w:ascii="Arial" w:hAnsi="Arial" w:cs="Arial"/>
          <w:sz w:val="24"/>
          <w:szCs w:val="24"/>
        </w:rPr>
        <w:t>deu a entender nessa conversa registrada por Virginia Woolf</w:t>
      </w:r>
      <w:r>
        <w:rPr>
          <w:rFonts w:ascii="Arial" w:hAnsi="Arial" w:cs="Arial"/>
          <w:sz w:val="24"/>
          <w:szCs w:val="24"/>
        </w:rPr>
        <w:t xml:space="preserve">. O processo parece ter sido indolor. </w:t>
      </w:r>
    </w:p>
    <w:p w:rsidR="00C356DA" w:rsidRDefault="00352BC1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Se indolor ou não, o fato é que se deu paulatinamente — e ele parece ter </w:t>
      </w:r>
      <w:proofErr w:type="gramStart"/>
      <w:r>
        <w:rPr>
          <w:rFonts w:ascii="Arial" w:hAnsi="Arial" w:cs="Arial"/>
          <w:sz w:val="24"/>
          <w:szCs w:val="24"/>
        </w:rPr>
        <w:t>demorado para</w:t>
      </w:r>
      <w:proofErr w:type="gramEnd"/>
      <w:r>
        <w:rPr>
          <w:rFonts w:ascii="Arial" w:hAnsi="Arial" w:cs="Arial"/>
          <w:sz w:val="24"/>
          <w:szCs w:val="24"/>
        </w:rPr>
        <w:t xml:space="preserve"> ter uma dimensão do processo como um todo. Em maio de 1936 ele registrou em seu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Commonplace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Book</w:t>
      </w:r>
      <w:r>
        <w:rPr>
          <w:rFonts w:ascii="Arial" w:hAnsi="Arial" w:cs="Arial"/>
          <w:sz w:val="24"/>
          <w:szCs w:val="24"/>
        </w:rPr>
        <w:t xml:space="preserve"> aquilo que vinha ocorrendo: “Luxuria, diversão, afeto e temores são meus entraves e distrações: medo do mais forte dos quatro, [</w:t>
      </w:r>
      <w:proofErr w:type="gramStart"/>
      <w:r>
        <w:rPr>
          <w:rFonts w:ascii="Arial" w:hAnsi="Arial" w:cs="Arial"/>
          <w:sz w:val="24"/>
          <w:szCs w:val="24"/>
        </w:rPr>
        <w:t>ou seja</w:t>
      </w:r>
      <w:proofErr w:type="gramEnd"/>
      <w:r>
        <w:rPr>
          <w:rFonts w:ascii="Arial" w:hAnsi="Arial" w:cs="Arial"/>
          <w:sz w:val="24"/>
          <w:szCs w:val="24"/>
        </w:rPr>
        <w:t xml:space="preserve">], o temor do colapso da civilização que parece devorar por baixo qualquer coisa que eu faça” (FORSTER, 1987, p.101). Em 1943, ele escreveria: “Eu me deixei levar por [coisas] banais (como a vida doméstica) e por trivialidades (como Liberdades Civis, a B.B.C.)” (FORSTER 1987, p.150-151). O intervalo de tempo entre esses dois registros pode ser curto, mas é certo que o tempo que ele levou para maturar e chegar a essas conclusões foi </w:t>
      </w:r>
      <w:proofErr w:type="gramStart"/>
      <w:r>
        <w:rPr>
          <w:rFonts w:ascii="Arial" w:hAnsi="Arial" w:cs="Arial"/>
          <w:sz w:val="24"/>
          <w:szCs w:val="24"/>
        </w:rPr>
        <w:t>grande</w:t>
      </w:r>
      <w:proofErr w:type="gramEnd"/>
      <w:r>
        <w:rPr>
          <w:rFonts w:ascii="Arial" w:hAnsi="Arial" w:cs="Arial"/>
          <w:sz w:val="24"/>
          <w:szCs w:val="24"/>
        </w:rPr>
        <w:t xml:space="preserve">. As coisas não estavam claras para ele até o começo da década de 1930. Na medida em que ele foi vivendo sua sexualidade e atuando e conseguindo mais espaço na imprensa, e no rádio (a partir de 1929), ele foi percebendo o que realmente ocorria. Não havia apenas uma vontade de parar de escrever, não havia apenas uma inadequação e uma incompreensão que limitavam seu trabalho como romancista profissional, havia, como ele mesmo anotou, </w:t>
      </w:r>
      <w:proofErr w:type="gramStart"/>
      <w:r>
        <w:rPr>
          <w:rFonts w:ascii="Arial" w:hAnsi="Arial" w:cs="Arial"/>
          <w:sz w:val="24"/>
          <w:szCs w:val="24"/>
        </w:rPr>
        <w:t>um certo</w:t>
      </w:r>
      <w:proofErr w:type="gramEnd"/>
      <w:r>
        <w:rPr>
          <w:rFonts w:ascii="Arial" w:hAnsi="Arial" w:cs="Arial"/>
          <w:sz w:val="24"/>
          <w:szCs w:val="24"/>
        </w:rPr>
        <w:t xml:space="preserve"> relapso. Havia inúmeras distrações. Em vez de escrever, ele poderia pensar em uma infinidade de outras coisas que poderia querer fazer. E havia motivos para isso: amigos e a disponibilidade de sexo, como frisou Wendy </w:t>
      </w:r>
      <w:proofErr w:type="spellStart"/>
      <w:r>
        <w:rPr>
          <w:rFonts w:ascii="Arial" w:hAnsi="Arial" w:cs="Arial"/>
          <w:sz w:val="24"/>
          <w:szCs w:val="24"/>
        </w:rPr>
        <w:t>Moffat</w:t>
      </w:r>
      <w:proofErr w:type="spellEnd"/>
      <w:r>
        <w:rPr>
          <w:rFonts w:ascii="Arial" w:hAnsi="Arial" w:cs="Arial"/>
          <w:sz w:val="24"/>
          <w:szCs w:val="24"/>
        </w:rPr>
        <w:t xml:space="preserve">. Ao longo da década de 1920, ele começou a viver sua sexualidade de maneira mais intensa, impulsionado pelas novas amizades, como a com Joe </w:t>
      </w:r>
      <w:proofErr w:type="spellStart"/>
      <w:r>
        <w:rPr>
          <w:rFonts w:ascii="Arial" w:hAnsi="Arial" w:cs="Arial"/>
          <w:sz w:val="24"/>
          <w:szCs w:val="24"/>
        </w:rPr>
        <w:t>Ackerley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Sebatian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Sprott</w:t>
      </w:r>
      <w:proofErr w:type="spellEnd"/>
      <w:r>
        <w:rPr>
          <w:rFonts w:ascii="Arial" w:hAnsi="Arial" w:cs="Arial"/>
          <w:sz w:val="24"/>
          <w:szCs w:val="24"/>
        </w:rPr>
        <w:t xml:space="preserve"> (MOFFAT, 2010, p.197 e 211-212). Foi nessa época que ele preencheu um vazio que o consumia desde o começo da vida adulta.</w:t>
      </w:r>
    </w:p>
    <w:p w:rsidR="00C356DA" w:rsidRDefault="00352BC1">
      <w:pPr>
        <w:pStyle w:val="Padro"/>
        <w:spacing w:line="360" w:lineRule="auto"/>
        <w:jc w:val="both"/>
      </w:pPr>
      <w:r>
        <w:rPr>
          <w:rFonts w:ascii="Arial" w:hAnsi="Arial" w:cs="Arial"/>
          <w:color w:val="auto"/>
        </w:rPr>
        <w:tab/>
        <w:t xml:space="preserve">E </w:t>
      </w:r>
      <w:r>
        <w:rPr>
          <w:rFonts w:ascii="Arial" w:hAnsi="Arial" w:cs="Arial"/>
          <w:i/>
          <w:color w:val="auto"/>
        </w:rPr>
        <w:t xml:space="preserve">A </w:t>
      </w:r>
      <w:proofErr w:type="spellStart"/>
      <w:r>
        <w:rPr>
          <w:rFonts w:ascii="Arial" w:hAnsi="Arial" w:cs="Arial"/>
          <w:i/>
          <w:color w:val="auto"/>
        </w:rPr>
        <w:t>Passage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to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India</w:t>
      </w:r>
      <w:proofErr w:type="spellEnd"/>
      <w:r>
        <w:rPr>
          <w:rFonts w:ascii="Arial" w:hAnsi="Arial" w:cs="Arial"/>
          <w:color w:val="auto"/>
        </w:rPr>
        <w:t xml:space="preserve"> foi um último suspiro daquela fase iniciada em 1905, com a publicação de </w:t>
      </w:r>
      <w:proofErr w:type="spellStart"/>
      <w:r>
        <w:rPr>
          <w:rFonts w:ascii="Arial" w:hAnsi="Arial" w:cs="Arial"/>
          <w:i/>
          <w:color w:val="auto"/>
        </w:rPr>
        <w:t>Where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Angels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Fear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to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Tread</w:t>
      </w:r>
      <w:proofErr w:type="spellEnd"/>
      <w:r>
        <w:rPr>
          <w:rFonts w:ascii="Arial" w:hAnsi="Arial" w:cs="Arial"/>
          <w:color w:val="auto"/>
        </w:rPr>
        <w:t xml:space="preserve"> [Onde os anjos temem pisar]. O período de composição deste, que foi o último romance publicado em vida, diz muito sobre o resultado final, ou seja, que “os eventos entre os anos de 1919 e 1920, ambos no Egito e na Índia [lugares em que ele tinha estado], o afetaram profundamente e que eles se fizeram sentir de muitas maneiras em </w:t>
      </w:r>
      <w:r>
        <w:rPr>
          <w:rFonts w:ascii="Arial" w:hAnsi="Arial" w:cs="Arial"/>
          <w:i/>
          <w:color w:val="auto"/>
        </w:rPr>
        <w:t xml:space="preserve">A </w:t>
      </w:r>
      <w:proofErr w:type="spellStart"/>
      <w:r>
        <w:rPr>
          <w:rFonts w:ascii="Arial" w:hAnsi="Arial" w:cs="Arial"/>
          <w:i/>
          <w:color w:val="auto"/>
        </w:rPr>
        <w:t>Passage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to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India</w:t>
      </w:r>
      <w:proofErr w:type="spellEnd"/>
      <w:r>
        <w:rPr>
          <w:rFonts w:ascii="Arial" w:hAnsi="Arial" w:cs="Arial"/>
          <w:color w:val="auto"/>
        </w:rPr>
        <w:t xml:space="preserve">. O romance, qualquer que tenha sido sua concepção original, foi profundamente influenciado por isso” (FURBANK, 2010, p.70). Mas não foi só o romance. O homem por detrás do romancista começava a se preocupar com política.  A gestação do crítico e ensaísta se deu nesses anos, entre 1919 </w:t>
      </w:r>
      <w:r>
        <w:rPr>
          <w:rFonts w:ascii="Arial" w:hAnsi="Arial" w:cs="Arial"/>
          <w:color w:val="auto"/>
        </w:rPr>
        <w:lastRenderedPageBreak/>
        <w:t xml:space="preserve">e 1924 ― o </w:t>
      </w:r>
      <w:r>
        <w:rPr>
          <w:rFonts w:ascii="Arial" w:hAnsi="Arial" w:cs="Arial"/>
          <w:i/>
          <w:color w:val="auto"/>
        </w:rPr>
        <w:t>homem</w:t>
      </w:r>
      <w:r>
        <w:rPr>
          <w:rFonts w:ascii="Arial" w:hAnsi="Arial" w:cs="Arial"/>
          <w:color w:val="auto"/>
        </w:rPr>
        <w:t xml:space="preserve"> e o </w:t>
      </w:r>
      <w:r>
        <w:rPr>
          <w:rFonts w:ascii="Arial" w:hAnsi="Arial" w:cs="Arial"/>
          <w:i/>
          <w:color w:val="auto"/>
        </w:rPr>
        <w:t>crítico</w:t>
      </w:r>
      <w:r>
        <w:rPr>
          <w:rFonts w:ascii="Arial" w:hAnsi="Arial" w:cs="Arial"/>
          <w:color w:val="auto"/>
        </w:rPr>
        <w:t xml:space="preserve"> acabaram emergindo enquanto o </w:t>
      </w:r>
      <w:r>
        <w:rPr>
          <w:rFonts w:ascii="Arial" w:hAnsi="Arial" w:cs="Arial"/>
          <w:i/>
          <w:color w:val="auto"/>
        </w:rPr>
        <w:t>romancista</w:t>
      </w:r>
      <w:r>
        <w:rPr>
          <w:rFonts w:ascii="Arial" w:hAnsi="Arial" w:cs="Arial"/>
          <w:color w:val="auto"/>
        </w:rPr>
        <w:t xml:space="preserve"> submergia em meio às profundas transformações que andavam em curso. E é isso o que faz desse romance uma peça importante na vida de </w:t>
      </w:r>
      <w:proofErr w:type="spellStart"/>
      <w:r>
        <w:rPr>
          <w:rFonts w:ascii="Arial" w:hAnsi="Arial" w:cs="Arial"/>
          <w:color w:val="auto"/>
        </w:rPr>
        <w:t>E.M.Forster</w:t>
      </w:r>
      <w:proofErr w:type="spellEnd"/>
      <w:r>
        <w:rPr>
          <w:rFonts w:ascii="Arial" w:hAnsi="Arial" w:cs="Arial"/>
          <w:color w:val="auto"/>
        </w:rPr>
        <w:t>: não foi só o sucesso estrondoso que fez seu nome ficar mundialmente conhecido, mas também a porta que ele cerrou. Parece que o desgaste para concluí-lo o levou a tomar a decisão, a d</w:t>
      </w:r>
      <w:r w:rsidR="00C1733F">
        <w:rPr>
          <w:rFonts w:ascii="Arial" w:hAnsi="Arial" w:cs="Arial"/>
          <w:color w:val="auto"/>
        </w:rPr>
        <w:t>e que não escreveria mais romances</w:t>
      </w:r>
      <w:r>
        <w:rPr>
          <w:rFonts w:ascii="Arial" w:hAnsi="Arial" w:cs="Arial"/>
          <w:color w:val="auto"/>
        </w:rPr>
        <w:t>. E assim o fez.</w:t>
      </w:r>
    </w:p>
    <w:p w:rsidR="00C356DA" w:rsidRDefault="00C356DA">
      <w:pPr>
        <w:pStyle w:val="Padro"/>
        <w:spacing w:line="360" w:lineRule="auto"/>
        <w:jc w:val="both"/>
      </w:pPr>
    </w:p>
    <w:p w:rsidR="00C356DA" w:rsidRDefault="00352BC1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C356DA" w:rsidRPr="00336B22" w:rsidRDefault="00352BC1">
      <w:pPr>
        <w:spacing w:after="0" w:line="360" w:lineRule="auto"/>
        <w:jc w:val="both"/>
        <w:rPr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CANALES, ESTEBAN. </w:t>
      </w:r>
      <w:r>
        <w:rPr>
          <w:rFonts w:ascii="Arial" w:hAnsi="Arial" w:cs="Arial"/>
          <w:b/>
          <w:sz w:val="24"/>
          <w:szCs w:val="24"/>
        </w:rPr>
        <w:t xml:space="preserve">La Inglaterra </w:t>
      </w:r>
      <w:proofErr w:type="spellStart"/>
      <w:r>
        <w:rPr>
          <w:rFonts w:ascii="Arial" w:hAnsi="Arial" w:cs="Arial"/>
          <w:b/>
          <w:sz w:val="24"/>
          <w:szCs w:val="24"/>
        </w:rPr>
        <w:t>Victoriana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36B22">
        <w:rPr>
          <w:rFonts w:ascii="Arial" w:hAnsi="Arial" w:cs="Arial"/>
          <w:sz w:val="24"/>
          <w:szCs w:val="24"/>
          <w:lang w:val="es-ES_tradnl"/>
        </w:rPr>
        <w:t xml:space="preserve">Madrid: </w:t>
      </w:r>
      <w:proofErr w:type="spellStart"/>
      <w:r w:rsidRPr="00336B22">
        <w:rPr>
          <w:rFonts w:ascii="Arial" w:hAnsi="Arial" w:cs="Arial"/>
          <w:sz w:val="24"/>
          <w:szCs w:val="24"/>
          <w:lang w:val="es-ES_tradnl"/>
        </w:rPr>
        <w:t>Akal</w:t>
      </w:r>
      <w:proofErr w:type="spellEnd"/>
      <w:r w:rsidRPr="00336B22">
        <w:rPr>
          <w:rFonts w:ascii="Arial" w:hAnsi="Arial" w:cs="Arial"/>
          <w:sz w:val="24"/>
          <w:szCs w:val="24"/>
          <w:lang w:val="es-ES_tradnl"/>
        </w:rPr>
        <w:t xml:space="preserve"> Ediciones, 2008.</w:t>
      </w:r>
    </w:p>
    <w:p w:rsidR="00C356DA" w:rsidRDefault="00352BC1">
      <w:pPr>
        <w:spacing w:after="0" w:line="360" w:lineRule="auto"/>
        <w:jc w:val="both"/>
      </w:pPr>
      <w:r w:rsidRPr="00336B22">
        <w:rPr>
          <w:rFonts w:ascii="Arial" w:hAnsi="Arial" w:cs="Arial"/>
          <w:sz w:val="24"/>
          <w:szCs w:val="24"/>
          <w:lang w:val="es-ES_tradnl"/>
        </w:rPr>
        <w:t xml:space="preserve">FERGUSON, </w:t>
      </w:r>
      <w:proofErr w:type="spellStart"/>
      <w:r w:rsidRPr="00336B22">
        <w:rPr>
          <w:rFonts w:ascii="Arial" w:hAnsi="Arial" w:cs="Arial"/>
          <w:sz w:val="24"/>
          <w:szCs w:val="24"/>
          <w:lang w:val="es-ES_tradnl"/>
        </w:rPr>
        <w:t>Niall</w:t>
      </w:r>
      <w:proofErr w:type="spellEnd"/>
      <w:r w:rsidRPr="00336B22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Império: como os britânicos fizeram o mundo moderno</w:t>
      </w:r>
      <w:r>
        <w:rPr>
          <w:rFonts w:ascii="Arial" w:hAnsi="Arial" w:cs="Arial"/>
          <w:sz w:val="24"/>
          <w:szCs w:val="24"/>
        </w:rPr>
        <w:t>. São Paulo: Planeta, 2010.</w:t>
      </w:r>
    </w:p>
    <w:p w:rsidR="00C356DA" w:rsidRPr="00336B22" w:rsidRDefault="00352BC1">
      <w:pPr>
        <w:spacing w:after="0" w:line="360" w:lineRule="auto"/>
        <w:jc w:val="both"/>
        <w:rPr>
          <w:lang w:val="en-US"/>
        </w:rPr>
      </w:pPr>
      <w:r w:rsidRPr="00A84621">
        <w:rPr>
          <w:rFonts w:ascii="Arial" w:hAnsi="Arial" w:cs="Arial"/>
          <w:sz w:val="24"/>
          <w:szCs w:val="24"/>
        </w:rPr>
        <w:t xml:space="preserve">FURBANK, </w:t>
      </w:r>
      <w:proofErr w:type="gramStart"/>
      <w:r w:rsidRPr="00A84621">
        <w:rPr>
          <w:rFonts w:ascii="Arial" w:hAnsi="Arial" w:cs="Arial"/>
          <w:sz w:val="24"/>
          <w:szCs w:val="24"/>
        </w:rPr>
        <w:t xml:space="preserve">P.N. </w:t>
      </w:r>
      <w:proofErr w:type="spellStart"/>
      <w:r w:rsidRPr="00A84621">
        <w:rPr>
          <w:rFonts w:ascii="Arial" w:hAnsi="Arial" w:cs="Arial"/>
          <w:b/>
          <w:sz w:val="24"/>
          <w:szCs w:val="24"/>
        </w:rPr>
        <w:t>E.M.</w:t>
      </w:r>
      <w:proofErr w:type="gramEnd"/>
      <w:r w:rsidRPr="00A84621">
        <w:rPr>
          <w:rFonts w:ascii="Arial" w:hAnsi="Arial" w:cs="Arial"/>
          <w:b/>
          <w:sz w:val="24"/>
          <w:szCs w:val="24"/>
        </w:rPr>
        <w:t>Forster</w:t>
      </w:r>
      <w:proofErr w:type="spellEnd"/>
      <w:r w:rsidRPr="00A84621">
        <w:rPr>
          <w:rFonts w:ascii="Arial" w:hAnsi="Arial" w:cs="Arial"/>
          <w:b/>
          <w:sz w:val="24"/>
          <w:szCs w:val="24"/>
        </w:rPr>
        <w:t xml:space="preserve">: a </w:t>
      </w:r>
      <w:proofErr w:type="spellStart"/>
      <w:r w:rsidRPr="00A84621">
        <w:rPr>
          <w:rFonts w:ascii="Arial" w:hAnsi="Arial" w:cs="Arial"/>
          <w:b/>
          <w:sz w:val="24"/>
          <w:szCs w:val="24"/>
        </w:rPr>
        <w:t>life</w:t>
      </w:r>
      <w:proofErr w:type="spellEnd"/>
      <w:r w:rsidRPr="00A846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New York: A Harvest Book &amp; Harcourt Brace &amp; Company, 2010.</w:t>
      </w:r>
    </w:p>
    <w:p w:rsidR="00C356DA" w:rsidRPr="00336B22" w:rsidRDefault="00352BC1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FURBANK, P.N.; LAGO, Mary (org.) </w:t>
      </w:r>
      <w:r>
        <w:rPr>
          <w:rFonts w:ascii="Arial" w:hAnsi="Arial" w:cs="Arial"/>
          <w:b/>
          <w:sz w:val="24"/>
          <w:szCs w:val="24"/>
          <w:lang w:val="en-US"/>
        </w:rPr>
        <w:t xml:space="preserve">Selected Letters of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E.M.Forster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 volume two: 1921-1970.</w:t>
      </w:r>
      <w:r>
        <w:rPr>
          <w:rFonts w:ascii="Arial" w:hAnsi="Arial" w:cs="Arial"/>
          <w:sz w:val="24"/>
          <w:szCs w:val="24"/>
          <w:lang w:val="en-US"/>
        </w:rPr>
        <w:t xml:space="preserve"> Cambridge: </w:t>
      </w:r>
      <w:r>
        <w:rPr>
          <w:rStyle w:val="apple-style-span"/>
          <w:rFonts w:ascii="Arial" w:hAnsi="Arial" w:cs="Arial"/>
          <w:sz w:val="24"/>
          <w:szCs w:val="24"/>
          <w:lang w:val="en-US"/>
        </w:rPr>
        <w:t>Belknap Press and Harvard University, 1985.</w:t>
      </w:r>
    </w:p>
    <w:p w:rsidR="00C356DA" w:rsidRPr="00336B22" w:rsidRDefault="00352BC1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FORSTER, Edward Morgan.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Abinger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Harvest</w:t>
      </w:r>
      <w:r>
        <w:rPr>
          <w:rFonts w:ascii="Arial" w:hAnsi="Arial" w:cs="Arial"/>
          <w:sz w:val="24"/>
          <w:szCs w:val="24"/>
          <w:lang w:val="en-US"/>
        </w:rPr>
        <w:t>. London: Edward Arnold, 1946.</w:t>
      </w:r>
    </w:p>
    <w:p w:rsidR="00C356DA" w:rsidRPr="00336B22" w:rsidRDefault="00352BC1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FORSTER, Edward Morgan.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Two Cheers for Democracy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New York: A Harvest Book &amp; Harcourt Brace &amp; Company, 1951</w:t>
      </w:r>
    </w:p>
    <w:p w:rsidR="00C356DA" w:rsidRPr="00336B22" w:rsidRDefault="00352BC1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FORSTER, E.M. GARDNER, Philip (org.) </w:t>
      </w:r>
      <w:r>
        <w:rPr>
          <w:rFonts w:ascii="Arial" w:hAnsi="Arial" w:cs="Arial"/>
          <w:b/>
          <w:sz w:val="24"/>
          <w:szCs w:val="24"/>
          <w:lang w:val="en-US"/>
        </w:rPr>
        <w:t>Commonplace Book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Wildwood House, 1988.</w:t>
      </w:r>
      <w:proofErr w:type="gramEnd"/>
    </w:p>
    <w:p w:rsidR="00C356DA" w:rsidRPr="00336B22" w:rsidRDefault="00352BC1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FORSTER, E.M.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The Hill of Devi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London: Penguin Books, 1983.</w:t>
      </w:r>
    </w:p>
    <w:p w:rsidR="00C356DA" w:rsidRDefault="00352BC1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HOBSBAWM, Eric. </w:t>
      </w:r>
      <w:r>
        <w:rPr>
          <w:rFonts w:ascii="Arial" w:hAnsi="Arial" w:cs="Arial"/>
          <w:b/>
          <w:sz w:val="24"/>
          <w:szCs w:val="24"/>
        </w:rPr>
        <w:t>A Era dos Extremos: o breve século XX</w:t>
      </w:r>
      <w:r>
        <w:rPr>
          <w:rFonts w:ascii="Arial" w:hAnsi="Arial" w:cs="Arial"/>
          <w:sz w:val="24"/>
          <w:szCs w:val="24"/>
        </w:rPr>
        <w:t>. São Paulo: Companhia das Letras, 2011.</w:t>
      </w:r>
    </w:p>
    <w:p w:rsidR="00C356DA" w:rsidRDefault="00352BC1">
      <w:pPr>
        <w:spacing w:after="0" w:line="36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MacMILLAN</w:t>
      </w:r>
      <w:proofErr w:type="spellEnd"/>
      <w:r>
        <w:rPr>
          <w:rFonts w:ascii="Arial" w:hAnsi="Arial" w:cs="Arial"/>
          <w:sz w:val="24"/>
          <w:szCs w:val="24"/>
        </w:rPr>
        <w:t xml:space="preserve">, Margaret. </w:t>
      </w:r>
      <w:r>
        <w:rPr>
          <w:rFonts w:ascii="Arial" w:hAnsi="Arial" w:cs="Arial"/>
          <w:b/>
          <w:sz w:val="24"/>
          <w:szCs w:val="24"/>
        </w:rPr>
        <w:t xml:space="preserve">Paz em Paris, 1919: A Conferência de Paris e seu </w:t>
      </w:r>
      <w:proofErr w:type="gramStart"/>
      <w:r>
        <w:rPr>
          <w:rFonts w:ascii="Arial" w:hAnsi="Arial" w:cs="Arial"/>
          <w:b/>
          <w:sz w:val="24"/>
          <w:szCs w:val="24"/>
        </w:rPr>
        <w:t>Mister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Encerrar a Grande Guerra</w:t>
      </w:r>
      <w:r>
        <w:rPr>
          <w:rFonts w:ascii="Arial" w:hAnsi="Arial" w:cs="Arial"/>
          <w:sz w:val="24"/>
          <w:szCs w:val="24"/>
        </w:rPr>
        <w:t xml:space="preserve">. Rio de Janeiro: Nova Fronteira, 2004. </w:t>
      </w:r>
    </w:p>
    <w:p w:rsidR="00C356DA" w:rsidRPr="00336B22" w:rsidRDefault="00352BC1">
      <w:pPr>
        <w:spacing w:after="0" w:line="360" w:lineRule="auto"/>
        <w:jc w:val="both"/>
        <w:rPr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TAYLOR, A.J.P. </w:t>
      </w:r>
      <w:r>
        <w:rPr>
          <w:rFonts w:ascii="Arial" w:hAnsi="Arial" w:cs="Arial"/>
          <w:b/>
          <w:sz w:val="24"/>
          <w:szCs w:val="24"/>
        </w:rPr>
        <w:t>Historia de Inglaterra: 1914-1945</w:t>
      </w:r>
      <w:r>
        <w:rPr>
          <w:rFonts w:ascii="Arial" w:hAnsi="Arial" w:cs="Arial"/>
          <w:sz w:val="24"/>
          <w:szCs w:val="24"/>
        </w:rPr>
        <w:t xml:space="preserve">. </w:t>
      </w:r>
      <w:r w:rsidRPr="00336B22">
        <w:rPr>
          <w:rFonts w:ascii="Arial" w:hAnsi="Arial" w:cs="Arial"/>
          <w:sz w:val="24"/>
          <w:szCs w:val="24"/>
          <w:lang w:val="es-ES_tradnl"/>
        </w:rPr>
        <w:t xml:space="preserve">Ciudad do </w:t>
      </w:r>
      <w:proofErr w:type="spellStart"/>
      <w:r w:rsidRPr="00336B22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336B22">
        <w:rPr>
          <w:rFonts w:ascii="Arial" w:hAnsi="Arial" w:cs="Arial"/>
          <w:sz w:val="24"/>
          <w:szCs w:val="24"/>
          <w:lang w:val="es-ES_tradnl"/>
        </w:rPr>
        <w:t xml:space="preserve">: Fondo de Cultura </w:t>
      </w:r>
      <w:proofErr w:type="spellStart"/>
      <w:r w:rsidRPr="00336B22">
        <w:rPr>
          <w:rFonts w:ascii="Arial" w:hAnsi="Arial" w:cs="Arial"/>
          <w:sz w:val="24"/>
          <w:szCs w:val="24"/>
          <w:lang w:val="es-ES_tradnl"/>
        </w:rPr>
        <w:t>Economica</w:t>
      </w:r>
      <w:proofErr w:type="spellEnd"/>
      <w:r w:rsidRPr="00336B22">
        <w:rPr>
          <w:rFonts w:ascii="Arial" w:hAnsi="Arial" w:cs="Arial"/>
          <w:sz w:val="24"/>
          <w:szCs w:val="24"/>
          <w:lang w:val="es-ES_tradnl"/>
        </w:rPr>
        <w:t>, 1989.</w:t>
      </w:r>
    </w:p>
    <w:p w:rsidR="00C356DA" w:rsidRDefault="00352BC1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PUGH, Martin.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State and Society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36B22">
        <w:rPr>
          <w:rFonts w:ascii="Arial" w:hAnsi="Arial" w:cs="Arial"/>
          <w:sz w:val="24"/>
          <w:szCs w:val="24"/>
        </w:rPr>
        <w:t xml:space="preserve">London: </w:t>
      </w:r>
      <w:proofErr w:type="spellStart"/>
      <w:r w:rsidRPr="00336B22">
        <w:rPr>
          <w:rFonts w:ascii="Arial" w:hAnsi="Arial" w:cs="Arial"/>
          <w:sz w:val="24"/>
          <w:szCs w:val="24"/>
        </w:rPr>
        <w:t>Bloomsbury</w:t>
      </w:r>
      <w:proofErr w:type="spellEnd"/>
      <w:r w:rsidRPr="00336B22">
        <w:rPr>
          <w:rFonts w:ascii="Arial" w:hAnsi="Arial" w:cs="Arial"/>
          <w:sz w:val="24"/>
          <w:szCs w:val="24"/>
        </w:rPr>
        <w:t>, 2012.</w:t>
      </w:r>
    </w:p>
    <w:p w:rsidR="00C356DA" w:rsidRPr="00336B22" w:rsidRDefault="00352BC1" w:rsidP="00C1733F">
      <w:pPr>
        <w:spacing w:after="0" w:line="360" w:lineRule="auto"/>
        <w:jc w:val="both"/>
        <w:rPr>
          <w:lang w:val="en-US"/>
        </w:rPr>
      </w:pPr>
      <w:r w:rsidRPr="00336B22">
        <w:rPr>
          <w:rFonts w:ascii="Arial" w:hAnsi="Arial" w:cs="Arial"/>
          <w:sz w:val="24"/>
          <w:szCs w:val="24"/>
        </w:rPr>
        <w:t xml:space="preserve">SAID, Edward. </w:t>
      </w:r>
      <w:r w:rsidRPr="00336B22">
        <w:rPr>
          <w:rFonts w:ascii="Arial" w:hAnsi="Arial" w:cs="Arial"/>
          <w:b/>
          <w:sz w:val="24"/>
          <w:szCs w:val="24"/>
        </w:rPr>
        <w:t>Cultura e Imperialismo</w:t>
      </w:r>
      <w:r w:rsidRPr="00336B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São Paulo: Companhia das Letras, 2011.</w:t>
      </w:r>
    </w:p>
    <w:p w:rsidR="0043698C" w:rsidRPr="0043698C" w:rsidRDefault="00352B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WOOLF, Virginia. </w:t>
      </w:r>
      <w:r>
        <w:rPr>
          <w:rFonts w:ascii="Arial" w:hAnsi="Arial" w:cs="Arial"/>
          <w:b/>
          <w:sz w:val="24"/>
          <w:szCs w:val="24"/>
        </w:rPr>
        <w:t>Diários: Primeiro volume: 1915-1926</w:t>
      </w:r>
      <w:r>
        <w:rPr>
          <w:rFonts w:ascii="Arial" w:hAnsi="Arial" w:cs="Arial"/>
          <w:sz w:val="24"/>
          <w:szCs w:val="24"/>
        </w:rPr>
        <w:t>. Lisboa: Bertrand, 1985.</w:t>
      </w:r>
    </w:p>
    <w:sectPr w:rsidR="0043698C" w:rsidRPr="0043698C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B4" w:rsidRDefault="00EE08B4">
      <w:pPr>
        <w:spacing w:after="0" w:line="240" w:lineRule="auto"/>
      </w:pPr>
      <w:r>
        <w:separator/>
      </w:r>
    </w:p>
  </w:endnote>
  <w:endnote w:type="continuationSeparator" w:id="0">
    <w:p w:rsidR="00EE08B4" w:rsidRDefault="00EE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B4" w:rsidRDefault="00EE08B4">
      <w:pPr>
        <w:spacing w:after="0" w:line="240" w:lineRule="auto"/>
      </w:pPr>
      <w:r>
        <w:separator/>
      </w:r>
    </w:p>
  </w:footnote>
  <w:footnote w:type="continuationSeparator" w:id="0">
    <w:p w:rsidR="00EE08B4" w:rsidRDefault="00EE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DA" w:rsidRDefault="00352BC1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994609">
      <w:rPr>
        <w:noProof/>
      </w:rPr>
      <w:t>1</w:t>
    </w:r>
    <w:r>
      <w:fldChar w:fldCharType="end"/>
    </w:r>
  </w:p>
  <w:p w:rsidR="00C356DA" w:rsidRDefault="00C356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6DA"/>
    <w:rsid w:val="002A3866"/>
    <w:rsid w:val="00336B22"/>
    <w:rsid w:val="00352BC1"/>
    <w:rsid w:val="003827AB"/>
    <w:rsid w:val="0043698C"/>
    <w:rsid w:val="004474BF"/>
    <w:rsid w:val="0048774C"/>
    <w:rsid w:val="006A7695"/>
    <w:rsid w:val="007C3629"/>
    <w:rsid w:val="00994609"/>
    <w:rsid w:val="00A84621"/>
    <w:rsid w:val="00C1733F"/>
    <w:rsid w:val="00C25D9F"/>
    <w:rsid w:val="00C356DA"/>
    <w:rsid w:val="00E540B0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  <w:lang w:eastAsia="en-US"/>
    </w:rPr>
  </w:style>
  <w:style w:type="paragraph" w:styleId="Ttulo1">
    <w:name w:val="heading 1"/>
    <w:basedOn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TextodenotadefimChar">
    <w:name w:val="Texto de nota de fim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1Char">
    <w:name w:val="Título 1 Char"/>
    <w:basedOn w:val="Fontepargpadro"/>
    <w:rPr>
      <w:rFonts w:ascii="Cambria" w:hAnsi="Cambria"/>
      <w:b/>
      <w:bCs/>
      <w:color w:val="365F91"/>
      <w:sz w:val="28"/>
      <w:szCs w:val="28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Fontepargpadro"/>
  </w:style>
  <w:style w:type="character" w:styleId="Refdenotadefim">
    <w:name w:val="endnote reference"/>
    <w:basedOn w:val="Fontepargpadro"/>
    <w:rPr>
      <w:vertAlign w:val="superscript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principal">
    <w:name w:val="Título principal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notaderodap">
    <w:name w:val="footnote text"/>
    <w:basedOn w:val="Normal"/>
    <w:pPr>
      <w:spacing w:after="0" w:line="100" w:lineRule="atLeast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odenotadefim">
    <w:name w:val="endnote text"/>
    <w:basedOn w:val="Padro"/>
    <w:rPr>
      <w:sz w:val="20"/>
      <w:szCs w:val="20"/>
    </w:rPr>
  </w:style>
  <w:style w:type="paragraph" w:customStyle="1" w:styleId="Notaderodap">
    <w:name w:val="Nota de rodapé"/>
    <w:basedOn w:val="Padro"/>
    <w:pPr>
      <w:suppressLineNumbers/>
      <w:ind w:left="283" w:hanging="283"/>
    </w:pPr>
    <w:rPr>
      <w:sz w:val="20"/>
      <w:szCs w:val="20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PargrafodaLista">
    <w:name w:val="List Paragraph"/>
    <w:basedOn w:val="Normal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4238</Words>
  <Characters>22890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WRM</dc:creator>
  <cp:lastModifiedBy>WRM</cp:lastModifiedBy>
  <cp:revision>16</cp:revision>
  <dcterms:created xsi:type="dcterms:W3CDTF">2013-05-14T23:48:00Z</dcterms:created>
  <dcterms:modified xsi:type="dcterms:W3CDTF">2013-07-24T03:42:00Z</dcterms:modified>
</cp:coreProperties>
</file>